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A331" w14:textId="1E0D165F" w:rsidR="00EC5F01" w:rsidRDefault="00EC5F01" w:rsidP="00EC5F01">
      <w:pPr>
        <w:pStyle w:val="NormalWeb"/>
        <w:shd w:val="clear" w:color="auto" w:fill="FFFFFF"/>
        <w:spacing w:before="0" w:beforeAutospacing="0" w:after="240" w:afterAutospacing="0"/>
        <w:jc w:val="center"/>
        <w:rPr>
          <w:rFonts w:ascii="Arial" w:hAnsi="Arial" w:cs="Arial"/>
          <w:b/>
          <w:bCs/>
          <w:color w:val="252525"/>
          <w:sz w:val="36"/>
          <w:szCs w:val="36"/>
        </w:rPr>
      </w:pPr>
      <w:r w:rsidRPr="00EC5F01">
        <w:rPr>
          <w:rFonts w:ascii="Arial" w:hAnsi="Arial" w:cs="Arial"/>
          <w:b/>
          <w:bCs/>
          <w:color w:val="252525"/>
          <w:sz w:val="36"/>
          <w:szCs w:val="36"/>
        </w:rPr>
        <w:t>FLORIDA ESTATE PLANNING CHECKLIST</w:t>
      </w:r>
    </w:p>
    <w:p w14:paraId="7965FBEB" w14:textId="77777777" w:rsidR="00C509A1" w:rsidRPr="00C509A1" w:rsidRDefault="00C509A1" w:rsidP="00EC5F01">
      <w:pPr>
        <w:pStyle w:val="NormalWeb"/>
        <w:shd w:val="clear" w:color="auto" w:fill="FFFFFF"/>
        <w:spacing w:before="0" w:beforeAutospacing="0" w:after="240" w:afterAutospacing="0"/>
        <w:jc w:val="center"/>
        <w:rPr>
          <w:rFonts w:ascii="Arial" w:hAnsi="Arial" w:cs="Arial"/>
          <w:b/>
          <w:bCs/>
          <w:color w:val="252525"/>
          <w:sz w:val="10"/>
          <w:szCs w:val="10"/>
        </w:rPr>
      </w:pPr>
    </w:p>
    <w:p w14:paraId="54DBB5A9" w14:textId="77777777" w:rsidR="00EC5F01" w:rsidRPr="00EC5F01" w:rsidRDefault="00EC5F01" w:rsidP="00C509A1">
      <w:pPr>
        <w:pStyle w:val="NormalWeb"/>
        <w:shd w:val="clear" w:color="auto" w:fill="FFFFFF"/>
        <w:spacing w:before="200" w:beforeAutospacing="0" w:after="200" w:afterAutospacing="0"/>
        <w:rPr>
          <w:rFonts w:ascii="Arial" w:hAnsi="Arial" w:cs="Arial"/>
          <w:color w:val="252525"/>
          <w:sz w:val="27"/>
          <w:szCs w:val="27"/>
        </w:rPr>
      </w:pPr>
      <w:r w:rsidRPr="00EC5F01">
        <w:rPr>
          <w:rFonts w:ascii="Arial" w:hAnsi="Arial" w:cs="Arial"/>
          <w:color w:val="252525"/>
          <w:sz w:val="27"/>
          <w:szCs w:val="27"/>
        </w:rPr>
        <w:t>Florida residents should follow this checklist to inform themselves on how they can prepare their estate for death, and to protect their health and financial interests should they become incapacitated and unable to communicate. All individuals are encouraged to consult an attorney before executing the documents available below.</w:t>
      </w:r>
    </w:p>
    <w:p w14:paraId="0BD5010B" w14:textId="77777777" w:rsidR="00EC5F01" w:rsidRPr="00EC5F01" w:rsidRDefault="00EC5F01" w:rsidP="00C509A1">
      <w:pPr>
        <w:pStyle w:val="Heading3"/>
        <w:shd w:val="clear" w:color="auto" w:fill="FFFFFF"/>
        <w:spacing w:before="200" w:beforeAutospacing="0" w:after="200" w:afterAutospacing="0" w:line="360" w:lineRule="atLeast"/>
        <w:rPr>
          <w:rFonts w:ascii="Arial" w:eastAsia="Times New Roman" w:hAnsi="Arial" w:cs="Arial"/>
          <w:b w:val="0"/>
          <w:bCs w:val="0"/>
          <w:color w:val="252525"/>
          <w:sz w:val="32"/>
          <w:szCs w:val="32"/>
        </w:rPr>
      </w:pPr>
      <w:r w:rsidRPr="00EC5F01">
        <w:rPr>
          <w:rStyle w:val="Strong"/>
          <w:rFonts w:ascii="Arial" w:eastAsia="Times New Roman" w:hAnsi="Arial" w:cs="Arial"/>
          <w:b/>
          <w:bCs/>
          <w:color w:val="252525"/>
          <w:sz w:val="32"/>
          <w:szCs w:val="32"/>
        </w:rPr>
        <w:t>Step 1 – Choose a Health Care Surrogate</w:t>
      </w:r>
    </w:p>
    <w:p w14:paraId="0595C503" w14:textId="77777777" w:rsidR="00EC5F01" w:rsidRPr="00EC5F01" w:rsidRDefault="00EC5F01" w:rsidP="00C509A1">
      <w:pPr>
        <w:pStyle w:val="NormalWeb"/>
        <w:shd w:val="clear" w:color="auto" w:fill="FFFFFF"/>
        <w:spacing w:before="200" w:beforeAutospacing="0" w:after="200" w:afterAutospacing="0"/>
        <w:rPr>
          <w:rFonts w:ascii="Arial" w:hAnsi="Arial" w:cs="Arial"/>
          <w:color w:val="252525"/>
          <w:sz w:val="27"/>
          <w:szCs w:val="27"/>
        </w:rPr>
      </w:pPr>
      <w:r w:rsidRPr="00EC5F01">
        <w:rPr>
          <w:rFonts w:ascii="Arial" w:hAnsi="Arial" w:cs="Arial"/>
          <w:color w:val="252525"/>
          <w:sz w:val="27"/>
          <w:szCs w:val="27"/>
        </w:rPr>
        <w:t>Residents can begin preparing their estate by appointing a </w:t>
      </w:r>
      <w:r w:rsidRPr="00EC5F01">
        <w:rPr>
          <w:rStyle w:val="Strong"/>
          <w:rFonts w:ascii="Arial" w:hAnsi="Arial" w:cs="Arial"/>
          <w:color w:val="252525"/>
          <w:sz w:val="27"/>
          <w:szCs w:val="27"/>
        </w:rPr>
        <w:t>health care surrogate </w:t>
      </w:r>
      <w:r w:rsidRPr="00EC5F01">
        <w:rPr>
          <w:rFonts w:ascii="Arial" w:hAnsi="Arial" w:cs="Arial"/>
          <w:color w:val="252525"/>
          <w:sz w:val="27"/>
          <w:szCs w:val="27"/>
        </w:rPr>
        <w:t>who will make health-related decisions on their behalf when they lack the capacity to do so. Selecting the surrogate can be accomplished through the completion of a Durable Power of Attorney for Health Care. After the surrogate is nominated, the individual will have permission to carry out the principal’s medical wishes which include the acceptance or refusal of a mechanical ventilator and other life-sustaining treatments. It is best to appoint an adult who cares for the principal’s well-being and is known to be trustworthy.</w:t>
      </w:r>
    </w:p>
    <w:p w14:paraId="5DB3B88A" w14:textId="77777777" w:rsidR="00EC5F01" w:rsidRPr="00EC5F01" w:rsidRDefault="00EA32B3" w:rsidP="00C509A1">
      <w:pPr>
        <w:pStyle w:val="NormalWeb"/>
        <w:shd w:val="clear" w:color="auto" w:fill="FFFFFF"/>
        <w:spacing w:before="200" w:beforeAutospacing="0" w:after="200" w:afterAutospacing="0"/>
        <w:rPr>
          <w:rFonts w:ascii="Arial" w:hAnsi="Arial" w:cs="Arial"/>
          <w:color w:val="252525"/>
          <w:sz w:val="27"/>
          <w:szCs w:val="27"/>
        </w:rPr>
      </w:pPr>
      <w:hyperlink r:id="rId7" w:history="1">
        <w:r w:rsidR="00EC5F01" w:rsidRPr="00EC5F01">
          <w:rPr>
            <w:rStyle w:val="Hyperlink"/>
            <w:rFonts w:cs="Arial"/>
            <w:color w:val="008CDD"/>
            <w:sz w:val="27"/>
            <w:szCs w:val="27"/>
          </w:rPr>
          <w:t>Durable Power of Attorney for Health Care</w:t>
        </w:r>
      </w:hyperlink>
      <w:r w:rsidR="00EC5F01" w:rsidRPr="00EC5F01">
        <w:rPr>
          <w:rFonts w:ascii="Arial" w:hAnsi="Arial" w:cs="Arial"/>
          <w:color w:val="252525"/>
          <w:sz w:val="27"/>
          <w:szCs w:val="27"/>
        </w:rPr>
        <w:t> – Authorizes an individual to make health care decisions for the principal when they are unable to communicate on their own.</w:t>
      </w:r>
    </w:p>
    <w:p w14:paraId="52BB65AA" w14:textId="77777777" w:rsidR="00EC5F01" w:rsidRPr="00EC5F01" w:rsidRDefault="00EC5F01" w:rsidP="00C509A1">
      <w:pPr>
        <w:numPr>
          <w:ilvl w:val="0"/>
          <w:numId w:val="5"/>
        </w:numPr>
        <w:shd w:val="clear" w:color="auto" w:fill="FFFFFF"/>
        <w:spacing w:before="200" w:after="200" w:line="300" w:lineRule="atLeast"/>
        <w:ind w:left="375"/>
        <w:rPr>
          <w:rFonts w:ascii="Arial" w:eastAsia="Times New Roman" w:hAnsi="Arial" w:cs="Arial"/>
          <w:color w:val="252525"/>
          <w:sz w:val="27"/>
          <w:szCs w:val="27"/>
        </w:rPr>
      </w:pPr>
      <w:r w:rsidRPr="00EC5F01">
        <w:rPr>
          <w:rStyle w:val="Strong"/>
          <w:rFonts w:ascii="Arial" w:eastAsia="Times New Roman" w:hAnsi="Arial" w:cs="Arial"/>
          <w:color w:val="252525"/>
          <w:sz w:val="27"/>
          <w:szCs w:val="27"/>
        </w:rPr>
        <w:t>Signing Requirements </w:t>
      </w:r>
      <w:r w:rsidRPr="00EC5F01">
        <w:rPr>
          <w:rFonts w:ascii="Arial" w:eastAsia="Times New Roman" w:hAnsi="Arial" w:cs="Arial"/>
          <w:color w:val="252525"/>
          <w:sz w:val="27"/>
          <w:szCs w:val="27"/>
        </w:rPr>
        <w:t>(</w:t>
      </w:r>
      <w:hyperlink r:id="rId8" w:tgtFrame="_blank" w:history="1">
        <w:r w:rsidRPr="00EC5F01">
          <w:rPr>
            <w:rStyle w:val="Hyperlink"/>
            <w:rFonts w:eastAsia="Times New Roman" w:cs="Arial"/>
            <w:color w:val="008CDD"/>
            <w:sz w:val="27"/>
            <w:szCs w:val="27"/>
          </w:rPr>
          <w:t>§ 765.202</w:t>
        </w:r>
      </w:hyperlink>
      <w:r w:rsidRPr="00EC5F01">
        <w:rPr>
          <w:rFonts w:ascii="Arial" w:eastAsia="Times New Roman" w:hAnsi="Arial" w:cs="Arial"/>
          <w:color w:val="252525"/>
          <w:sz w:val="27"/>
          <w:szCs w:val="27"/>
        </w:rPr>
        <w:t>) – Must be signed by the principal and two (2) adult witnesses.</w:t>
      </w:r>
    </w:p>
    <w:p w14:paraId="7A381B4C" w14:textId="77777777" w:rsidR="00EC5F01" w:rsidRPr="00EC5F01" w:rsidRDefault="00EC5F01" w:rsidP="00C509A1">
      <w:pPr>
        <w:pStyle w:val="Heading3"/>
        <w:shd w:val="clear" w:color="auto" w:fill="FFFFFF"/>
        <w:spacing w:before="200" w:beforeAutospacing="0" w:after="200" w:afterAutospacing="0" w:line="360" w:lineRule="atLeast"/>
        <w:rPr>
          <w:rFonts w:ascii="Arial" w:eastAsia="Times New Roman" w:hAnsi="Arial" w:cs="Arial"/>
          <w:b w:val="0"/>
          <w:bCs w:val="0"/>
          <w:color w:val="252525"/>
          <w:sz w:val="32"/>
          <w:szCs w:val="32"/>
        </w:rPr>
      </w:pPr>
      <w:r w:rsidRPr="00EC5F01">
        <w:rPr>
          <w:rStyle w:val="Strong"/>
          <w:rFonts w:ascii="Arial" w:eastAsia="Times New Roman" w:hAnsi="Arial" w:cs="Arial"/>
          <w:b/>
          <w:bCs/>
          <w:color w:val="252525"/>
          <w:sz w:val="32"/>
          <w:szCs w:val="32"/>
        </w:rPr>
        <w:t>Step 2 – Choose a Financial Surrogate</w:t>
      </w:r>
    </w:p>
    <w:p w14:paraId="557C2C11" w14:textId="77777777" w:rsidR="00EC5F01" w:rsidRPr="00EC5F01" w:rsidRDefault="00EC5F01" w:rsidP="00C509A1">
      <w:pPr>
        <w:pStyle w:val="NormalWeb"/>
        <w:shd w:val="clear" w:color="auto" w:fill="FFFFFF"/>
        <w:spacing w:before="200" w:beforeAutospacing="0" w:after="200" w:afterAutospacing="0"/>
        <w:rPr>
          <w:rFonts w:ascii="Arial" w:hAnsi="Arial" w:cs="Arial"/>
          <w:color w:val="252525"/>
          <w:sz w:val="27"/>
          <w:szCs w:val="27"/>
        </w:rPr>
      </w:pPr>
      <w:r w:rsidRPr="00EC5F01">
        <w:rPr>
          <w:rFonts w:ascii="Arial" w:hAnsi="Arial" w:cs="Arial"/>
          <w:color w:val="252525"/>
          <w:sz w:val="27"/>
          <w:szCs w:val="27"/>
        </w:rPr>
        <w:t>Like the health care surrogate, a </w:t>
      </w:r>
      <w:r w:rsidRPr="00EC5F01">
        <w:rPr>
          <w:rStyle w:val="Strong"/>
          <w:rFonts w:ascii="Arial" w:hAnsi="Arial" w:cs="Arial"/>
          <w:color w:val="252525"/>
          <w:sz w:val="27"/>
          <w:szCs w:val="27"/>
        </w:rPr>
        <w:t>financial surrogate </w:t>
      </w:r>
      <w:r w:rsidRPr="00EC5F01">
        <w:rPr>
          <w:rFonts w:ascii="Arial" w:hAnsi="Arial" w:cs="Arial"/>
          <w:color w:val="252525"/>
          <w:sz w:val="27"/>
          <w:szCs w:val="27"/>
        </w:rPr>
        <w:t>will execute the principal’s wishes while they are disabled or lack the capacity to express themselves. The authority granted to the financial surrogate allows the individual to handle the principal’s finances until their capacity is restored. While the powers given to the financial surrogate will vary, the individual can be expected to manage the principal’s real estate, bank accounts, bills, business transactions, and debt collection. Florida residents can legally appoint their health care surrogate by completing the document below.</w:t>
      </w:r>
    </w:p>
    <w:p w14:paraId="17B372F4" w14:textId="77777777" w:rsidR="00EC5F01" w:rsidRPr="00EC5F01" w:rsidRDefault="00EA32B3" w:rsidP="00C509A1">
      <w:pPr>
        <w:pStyle w:val="NormalWeb"/>
        <w:shd w:val="clear" w:color="auto" w:fill="FFFFFF"/>
        <w:spacing w:before="200" w:beforeAutospacing="0" w:after="200" w:afterAutospacing="0"/>
        <w:rPr>
          <w:rFonts w:ascii="Arial" w:hAnsi="Arial" w:cs="Arial"/>
          <w:color w:val="252525"/>
          <w:sz w:val="27"/>
          <w:szCs w:val="27"/>
        </w:rPr>
      </w:pPr>
      <w:hyperlink r:id="rId9" w:history="1">
        <w:r w:rsidR="00EC5F01" w:rsidRPr="00EC5F01">
          <w:rPr>
            <w:rStyle w:val="Hyperlink"/>
            <w:rFonts w:cs="Arial"/>
            <w:color w:val="008CDD"/>
            <w:sz w:val="27"/>
            <w:szCs w:val="27"/>
          </w:rPr>
          <w:t>Durable (Financial) Power of Attorney Form</w:t>
        </w:r>
      </w:hyperlink>
      <w:r w:rsidR="00EC5F01" w:rsidRPr="00EC5F01">
        <w:rPr>
          <w:rFonts w:ascii="Arial" w:hAnsi="Arial" w:cs="Arial"/>
          <w:color w:val="252525"/>
          <w:sz w:val="27"/>
          <w:szCs w:val="27"/>
        </w:rPr>
        <w:t> – Grants an individual the legal capacity to manage the principal’s finances until they regain the ability to handle their affairs.</w:t>
      </w:r>
    </w:p>
    <w:p w14:paraId="5A4DA7E5" w14:textId="77777777" w:rsidR="00EC5F01" w:rsidRPr="00EC5F01" w:rsidRDefault="00EC5F01" w:rsidP="00C509A1">
      <w:pPr>
        <w:numPr>
          <w:ilvl w:val="0"/>
          <w:numId w:val="6"/>
        </w:numPr>
        <w:shd w:val="clear" w:color="auto" w:fill="FFFFFF"/>
        <w:spacing w:before="200" w:after="200" w:line="300" w:lineRule="atLeast"/>
        <w:ind w:left="375"/>
        <w:rPr>
          <w:rFonts w:ascii="Arial" w:eastAsia="Times New Roman" w:hAnsi="Arial" w:cs="Arial"/>
          <w:color w:val="252525"/>
          <w:sz w:val="27"/>
          <w:szCs w:val="27"/>
        </w:rPr>
      </w:pPr>
      <w:r w:rsidRPr="00EC5F01">
        <w:rPr>
          <w:rStyle w:val="Strong"/>
          <w:rFonts w:ascii="Arial" w:eastAsia="Times New Roman" w:hAnsi="Arial" w:cs="Arial"/>
          <w:color w:val="252525"/>
          <w:sz w:val="27"/>
          <w:szCs w:val="27"/>
        </w:rPr>
        <w:lastRenderedPageBreak/>
        <w:t>Signing Requirements </w:t>
      </w:r>
      <w:r w:rsidRPr="00EC5F01">
        <w:rPr>
          <w:rFonts w:ascii="Arial" w:eastAsia="Times New Roman" w:hAnsi="Arial" w:cs="Arial"/>
          <w:color w:val="252525"/>
          <w:sz w:val="27"/>
          <w:szCs w:val="27"/>
        </w:rPr>
        <w:t>(</w:t>
      </w:r>
      <w:hyperlink r:id="rId10" w:tgtFrame="_blank" w:history="1">
        <w:r w:rsidRPr="00EC5F01">
          <w:rPr>
            <w:rStyle w:val="Hyperlink"/>
            <w:rFonts w:eastAsia="Times New Roman" w:cs="Arial"/>
            <w:color w:val="008CDD"/>
            <w:sz w:val="27"/>
            <w:szCs w:val="27"/>
          </w:rPr>
          <w:t>§ 709.2105</w:t>
        </w:r>
      </w:hyperlink>
      <w:r w:rsidRPr="00EC5F01">
        <w:rPr>
          <w:rFonts w:ascii="Arial" w:eastAsia="Times New Roman" w:hAnsi="Arial" w:cs="Arial"/>
          <w:color w:val="252525"/>
          <w:sz w:val="27"/>
          <w:szCs w:val="27"/>
        </w:rPr>
        <w:t>) – Must be signed by the principal, two (2) subscribing witnesses, and acknowledged by the principal in the presence of a notary public.</w:t>
      </w:r>
    </w:p>
    <w:p w14:paraId="702EF14D" w14:textId="77777777" w:rsidR="00EC5F01" w:rsidRPr="00EC5F01" w:rsidRDefault="00EC5F01" w:rsidP="00C509A1">
      <w:pPr>
        <w:pStyle w:val="NormalWeb"/>
        <w:shd w:val="clear" w:color="auto" w:fill="FFFFFF"/>
        <w:spacing w:before="0" w:beforeAutospacing="0" w:after="0" w:afterAutospacing="0"/>
        <w:rPr>
          <w:rFonts w:ascii="Arial" w:hAnsi="Arial" w:cs="Arial"/>
          <w:color w:val="252525"/>
          <w:sz w:val="27"/>
          <w:szCs w:val="27"/>
        </w:rPr>
      </w:pPr>
      <w:r w:rsidRPr="00EC5F01">
        <w:rPr>
          <w:rStyle w:val="Strong"/>
          <w:rFonts w:ascii="Arial" w:hAnsi="Arial" w:cs="Arial"/>
          <w:color w:val="252525"/>
          <w:sz w:val="27"/>
          <w:szCs w:val="27"/>
        </w:rPr>
        <w:t>Financial Powers Allowed</w:t>
      </w:r>
    </w:p>
    <w:p w14:paraId="53EC1381"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Collection;</w:t>
      </w:r>
    </w:p>
    <w:p w14:paraId="22B51182"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Payment;</w:t>
      </w:r>
    </w:p>
    <w:p w14:paraId="176D734F"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Safe Deposit Boxes;</w:t>
      </w:r>
    </w:p>
    <w:p w14:paraId="5CED5153"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Banking;</w:t>
      </w:r>
    </w:p>
    <w:p w14:paraId="1755BCC3"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Management;</w:t>
      </w:r>
    </w:p>
    <w:p w14:paraId="4F3755FD"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Tax;</w:t>
      </w:r>
    </w:p>
    <w:p w14:paraId="18EA99E3"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Business Interests;</w:t>
      </w:r>
    </w:p>
    <w:p w14:paraId="7B1E5E2C"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Personal Interests;</w:t>
      </w:r>
    </w:p>
    <w:p w14:paraId="570FAD7A"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Health Care;</w:t>
      </w:r>
    </w:p>
    <w:p w14:paraId="0F7F05F4" w14:textId="77777777" w:rsidR="00EC5F01" w:rsidRPr="00EC5F01" w:rsidRDefault="00EC5F01" w:rsidP="00C509A1">
      <w:pPr>
        <w:numPr>
          <w:ilvl w:val="0"/>
          <w:numId w:val="7"/>
        </w:numPr>
        <w:shd w:val="clear" w:color="auto" w:fill="FFFFFF"/>
        <w:spacing w:line="300" w:lineRule="atLeast"/>
        <w:ind w:left="375"/>
        <w:rPr>
          <w:rFonts w:ascii="Arial" w:eastAsia="Times New Roman" w:hAnsi="Arial" w:cs="Arial"/>
          <w:color w:val="252525"/>
          <w:sz w:val="27"/>
          <w:szCs w:val="27"/>
        </w:rPr>
      </w:pPr>
      <w:r w:rsidRPr="00EC5F01">
        <w:rPr>
          <w:rFonts w:ascii="Arial" w:eastAsia="Times New Roman" w:hAnsi="Arial" w:cs="Arial"/>
          <w:color w:val="252525"/>
          <w:sz w:val="27"/>
          <w:szCs w:val="27"/>
        </w:rPr>
        <w:t>General Powers.</w:t>
      </w:r>
    </w:p>
    <w:p w14:paraId="171412F2" w14:textId="77777777" w:rsidR="00EC5F01" w:rsidRPr="00EC5F01" w:rsidRDefault="00EC5F01" w:rsidP="00C509A1">
      <w:pPr>
        <w:pStyle w:val="Heading3"/>
        <w:shd w:val="clear" w:color="auto" w:fill="FFFFFF"/>
        <w:spacing w:before="200" w:beforeAutospacing="0" w:after="200" w:afterAutospacing="0" w:line="360" w:lineRule="atLeast"/>
        <w:rPr>
          <w:rFonts w:ascii="Arial" w:eastAsia="Times New Roman" w:hAnsi="Arial" w:cs="Arial"/>
          <w:b w:val="0"/>
          <w:bCs w:val="0"/>
          <w:color w:val="252525"/>
          <w:sz w:val="32"/>
          <w:szCs w:val="32"/>
        </w:rPr>
      </w:pPr>
      <w:r w:rsidRPr="00EC5F01">
        <w:rPr>
          <w:rStyle w:val="Strong"/>
          <w:rFonts w:ascii="Arial" w:eastAsia="Times New Roman" w:hAnsi="Arial" w:cs="Arial"/>
          <w:b/>
          <w:bCs/>
          <w:color w:val="252525"/>
          <w:sz w:val="32"/>
          <w:szCs w:val="32"/>
        </w:rPr>
        <w:t>Step 3 – Make a List of Personal Property and Other Assets</w:t>
      </w:r>
    </w:p>
    <w:p w14:paraId="78279551" w14:textId="77777777" w:rsidR="00EC5F01" w:rsidRPr="00EC5F01" w:rsidRDefault="00EC5F01" w:rsidP="00C509A1">
      <w:pPr>
        <w:pStyle w:val="NormalWeb"/>
        <w:shd w:val="clear" w:color="auto" w:fill="FFFFFF"/>
        <w:spacing w:before="200" w:beforeAutospacing="0" w:after="200" w:afterAutospacing="0"/>
        <w:rPr>
          <w:rFonts w:ascii="Arial" w:hAnsi="Arial" w:cs="Arial"/>
          <w:color w:val="252525"/>
          <w:sz w:val="27"/>
          <w:szCs w:val="27"/>
        </w:rPr>
      </w:pPr>
      <w:r w:rsidRPr="00EC5F01">
        <w:rPr>
          <w:rFonts w:ascii="Arial" w:hAnsi="Arial" w:cs="Arial"/>
          <w:color w:val="252525"/>
          <w:sz w:val="27"/>
          <w:szCs w:val="27"/>
        </w:rPr>
        <w:t>Residents are encouraged to create a list that details the assets in their estate. In doing so, they expedite the designation of assets to beneficiaries which will be necessary when executing an administration document such as a Last Will and Testament or Living Trust. The </w:t>
      </w:r>
      <w:hyperlink r:id="rId11" w:history="1">
        <w:r w:rsidRPr="00EC5F01">
          <w:rPr>
            <w:rStyle w:val="Hyperlink"/>
            <w:rFonts w:cs="Arial"/>
            <w:color w:val="008CDD"/>
            <w:sz w:val="27"/>
            <w:szCs w:val="27"/>
          </w:rPr>
          <w:t>Current Assets List</w:t>
        </w:r>
      </w:hyperlink>
      <w:r w:rsidRPr="00EC5F01">
        <w:rPr>
          <w:rFonts w:ascii="Arial" w:hAnsi="Arial" w:cs="Arial"/>
          <w:color w:val="252525"/>
          <w:sz w:val="27"/>
          <w:szCs w:val="27"/>
        </w:rPr>
        <w:t> is a helpful tool for those wishing to describe their personal property and assets.</w:t>
      </w:r>
    </w:p>
    <w:p w14:paraId="2198489A" w14:textId="77777777" w:rsidR="00EC5F01" w:rsidRPr="00EC5F01" w:rsidRDefault="00EC5F01" w:rsidP="00C509A1">
      <w:pPr>
        <w:pStyle w:val="Heading3"/>
        <w:shd w:val="clear" w:color="auto" w:fill="FFFFFF"/>
        <w:spacing w:before="200" w:beforeAutospacing="0" w:after="200" w:afterAutospacing="0" w:line="360" w:lineRule="atLeast"/>
        <w:rPr>
          <w:rFonts w:ascii="Arial" w:eastAsia="Times New Roman" w:hAnsi="Arial" w:cs="Arial"/>
          <w:b w:val="0"/>
          <w:bCs w:val="0"/>
          <w:color w:val="252525"/>
          <w:sz w:val="32"/>
          <w:szCs w:val="32"/>
        </w:rPr>
      </w:pPr>
      <w:r w:rsidRPr="00EC5F01">
        <w:rPr>
          <w:rStyle w:val="Strong"/>
          <w:rFonts w:ascii="Arial" w:eastAsia="Times New Roman" w:hAnsi="Arial" w:cs="Arial"/>
          <w:b/>
          <w:bCs/>
          <w:color w:val="252525"/>
          <w:sz w:val="32"/>
          <w:szCs w:val="32"/>
        </w:rPr>
        <w:t>Step 4 – Choose the Beneficiaries of the Estate</w:t>
      </w:r>
    </w:p>
    <w:p w14:paraId="6A25FF4E" w14:textId="77777777" w:rsidR="00EC5F01" w:rsidRPr="00EC5F01" w:rsidRDefault="00EC5F01" w:rsidP="00C509A1">
      <w:pPr>
        <w:pStyle w:val="NormalWeb"/>
        <w:shd w:val="clear" w:color="auto" w:fill="FFFFFF"/>
        <w:spacing w:before="200" w:beforeAutospacing="0" w:after="200" w:afterAutospacing="0"/>
        <w:rPr>
          <w:rFonts w:ascii="Arial" w:hAnsi="Arial" w:cs="Arial"/>
          <w:color w:val="252525"/>
          <w:sz w:val="27"/>
          <w:szCs w:val="27"/>
        </w:rPr>
      </w:pPr>
      <w:r w:rsidRPr="00EC5F01">
        <w:rPr>
          <w:rFonts w:ascii="Arial" w:hAnsi="Arial" w:cs="Arial"/>
          <w:color w:val="252525"/>
          <w:sz w:val="27"/>
          <w:szCs w:val="27"/>
        </w:rPr>
        <w:t>After compiling descriptions of the principal’s assets, they will need to name the parties who will inherit their property after they die. The inheritors of the estate are known as the “beneficiaries” and are usually the principal’s kin, close friends, or other individuals of the principal’s choosing. Regardless of who is selected, the individuals should be informed of the property they will acquire following the principal’s death.</w:t>
      </w:r>
    </w:p>
    <w:p w14:paraId="4EC0387D" w14:textId="77777777" w:rsidR="00EC5F01" w:rsidRPr="00EC5F01" w:rsidRDefault="00EC5F01" w:rsidP="00C509A1">
      <w:pPr>
        <w:pStyle w:val="Heading3"/>
        <w:shd w:val="clear" w:color="auto" w:fill="FFFFFF"/>
        <w:spacing w:before="200" w:beforeAutospacing="0" w:after="200" w:afterAutospacing="0" w:line="360" w:lineRule="atLeast"/>
        <w:rPr>
          <w:rFonts w:ascii="Arial" w:eastAsia="Times New Roman" w:hAnsi="Arial" w:cs="Arial"/>
          <w:b w:val="0"/>
          <w:bCs w:val="0"/>
          <w:color w:val="252525"/>
          <w:sz w:val="32"/>
          <w:szCs w:val="32"/>
        </w:rPr>
      </w:pPr>
      <w:r w:rsidRPr="00EC5F01">
        <w:rPr>
          <w:rStyle w:val="Strong"/>
          <w:rFonts w:ascii="Arial" w:eastAsia="Times New Roman" w:hAnsi="Arial" w:cs="Arial"/>
          <w:b/>
          <w:bCs/>
          <w:color w:val="252525"/>
          <w:sz w:val="32"/>
          <w:szCs w:val="32"/>
        </w:rPr>
        <w:t>Step 5 – Write an Estate Distribution Document</w:t>
      </w:r>
    </w:p>
    <w:p w14:paraId="3F43F57E" w14:textId="77777777" w:rsidR="00EC5F01" w:rsidRPr="00EC5F01" w:rsidRDefault="00EC5F01" w:rsidP="00C509A1">
      <w:pPr>
        <w:pStyle w:val="NormalWeb"/>
        <w:shd w:val="clear" w:color="auto" w:fill="FFFFFF"/>
        <w:spacing w:before="200" w:beforeAutospacing="0" w:after="200" w:afterAutospacing="0"/>
        <w:rPr>
          <w:rFonts w:ascii="Arial" w:hAnsi="Arial" w:cs="Arial"/>
          <w:color w:val="252525"/>
          <w:sz w:val="27"/>
          <w:szCs w:val="27"/>
        </w:rPr>
      </w:pPr>
      <w:r w:rsidRPr="00EC5F01">
        <w:rPr>
          <w:rFonts w:ascii="Arial" w:hAnsi="Arial" w:cs="Arial"/>
          <w:color w:val="252525"/>
          <w:sz w:val="27"/>
          <w:szCs w:val="27"/>
        </w:rPr>
        <w:t>Next, the principal will need to draft a document that outlines the manner in which the estate will be administered following their death. This paperwork will serve as legal evidence of the principal’s end-of-life preferences. The following documents can be used for this function:</w:t>
      </w:r>
    </w:p>
    <w:p w14:paraId="2D2DB3B3" w14:textId="77777777" w:rsidR="00EC5F01" w:rsidRPr="00EC5F01" w:rsidRDefault="00EA32B3" w:rsidP="00C509A1">
      <w:pPr>
        <w:pStyle w:val="NormalWeb"/>
        <w:shd w:val="clear" w:color="auto" w:fill="FFFFFF"/>
        <w:spacing w:before="200" w:beforeAutospacing="0" w:after="200" w:afterAutospacing="0"/>
        <w:rPr>
          <w:rFonts w:ascii="Arial" w:hAnsi="Arial" w:cs="Arial"/>
          <w:color w:val="252525"/>
          <w:sz w:val="27"/>
          <w:szCs w:val="27"/>
        </w:rPr>
      </w:pPr>
      <w:hyperlink r:id="rId12" w:history="1">
        <w:r w:rsidR="00EC5F01" w:rsidRPr="00EC5F01">
          <w:rPr>
            <w:rStyle w:val="Hyperlink"/>
            <w:rFonts w:cs="Arial"/>
            <w:color w:val="008CDD"/>
            <w:sz w:val="27"/>
            <w:szCs w:val="27"/>
          </w:rPr>
          <w:t>Last Will and Testament (‘Will’)</w:t>
        </w:r>
      </w:hyperlink>
      <w:r w:rsidR="00EC5F01" w:rsidRPr="00EC5F01">
        <w:rPr>
          <w:rFonts w:ascii="Arial" w:hAnsi="Arial" w:cs="Arial"/>
          <w:color w:val="252525"/>
          <w:sz w:val="27"/>
          <w:szCs w:val="27"/>
        </w:rPr>
        <w:t> – A standard document that explains the principal’s choices regarding the disposition of property. Creating a last will and testament is relatively simple and can be done without expense. However, when the principal dies, the document </w:t>
      </w:r>
      <w:r w:rsidR="00EC5F01" w:rsidRPr="00EC5F01">
        <w:rPr>
          <w:rStyle w:val="Strong"/>
          <w:rFonts w:ascii="Arial" w:hAnsi="Arial" w:cs="Arial"/>
          <w:color w:val="252525"/>
          <w:sz w:val="27"/>
          <w:szCs w:val="27"/>
        </w:rPr>
        <w:t xml:space="preserve">must be reviewed by the </w:t>
      </w:r>
      <w:r w:rsidR="00EC5F01" w:rsidRPr="00EC5F01">
        <w:rPr>
          <w:rStyle w:val="Strong"/>
          <w:rFonts w:ascii="Arial" w:hAnsi="Arial" w:cs="Arial"/>
          <w:color w:val="252525"/>
          <w:sz w:val="27"/>
          <w:szCs w:val="27"/>
        </w:rPr>
        <w:lastRenderedPageBreak/>
        <w:t>probate court </w:t>
      </w:r>
      <w:r w:rsidR="00EC5F01" w:rsidRPr="00EC5F01">
        <w:rPr>
          <w:rFonts w:ascii="Arial" w:hAnsi="Arial" w:cs="Arial"/>
          <w:color w:val="252525"/>
          <w:sz w:val="27"/>
          <w:szCs w:val="27"/>
        </w:rPr>
        <w:t>which may result in a lengthy court proceeding and can require additional costs to cover attorney and other court fees.</w:t>
      </w:r>
    </w:p>
    <w:p w14:paraId="4D539419" w14:textId="77777777" w:rsidR="00EC5F01" w:rsidRPr="00EC5F01" w:rsidRDefault="00EC5F01" w:rsidP="00C509A1">
      <w:pPr>
        <w:numPr>
          <w:ilvl w:val="0"/>
          <w:numId w:val="8"/>
        </w:numPr>
        <w:shd w:val="clear" w:color="auto" w:fill="FFFFFF"/>
        <w:spacing w:before="200" w:after="200" w:line="300" w:lineRule="atLeast"/>
        <w:ind w:left="375"/>
        <w:rPr>
          <w:rFonts w:ascii="Arial" w:eastAsia="Times New Roman" w:hAnsi="Arial" w:cs="Arial"/>
          <w:color w:val="252525"/>
          <w:sz w:val="27"/>
          <w:szCs w:val="27"/>
        </w:rPr>
      </w:pPr>
      <w:r w:rsidRPr="00EC5F01">
        <w:rPr>
          <w:rStyle w:val="Strong"/>
          <w:rFonts w:ascii="Arial" w:eastAsia="Times New Roman" w:hAnsi="Arial" w:cs="Arial"/>
          <w:color w:val="252525"/>
          <w:sz w:val="27"/>
          <w:szCs w:val="27"/>
        </w:rPr>
        <w:t>Signing Requirements </w:t>
      </w:r>
      <w:r w:rsidRPr="00EC5F01">
        <w:rPr>
          <w:rFonts w:ascii="Arial" w:eastAsia="Times New Roman" w:hAnsi="Arial" w:cs="Arial"/>
          <w:color w:val="252525"/>
          <w:sz w:val="27"/>
          <w:szCs w:val="27"/>
        </w:rPr>
        <w:t>(</w:t>
      </w:r>
      <w:hyperlink r:id="rId13" w:tgtFrame="_blank" w:history="1">
        <w:r w:rsidRPr="00EC5F01">
          <w:rPr>
            <w:rStyle w:val="Hyperlink"/>
            <w:rFonts w:eastAsia="Times New Roman" w:cs="Arial"/>
            <w:color w:val="008CDD"/>
            <w:sz w:val="27"/>
            <w:szCs w:val="27"/>
          </w:rPr>
          <w:t>§ 732.502</w:t>
        </w:r>
      </w:hyperlink>
      <w:r w:rsidRPr="00EC5F01">
        <w:rPr>
          <w:rStyle w:val="sectionnumber"/>
          <w:rFonts w:ascii="Arial" w:eastAsia="Times New Roman" w:hAnsi="Arial" w:cs="Arial"/>
          <w:color w:val="252525"/>
          <w:sz w:val="27"/>
          <w:szCs w:val="27"/>
        </w:rPr>
        <w:t>) – Required to be signed by the principal and two (2) witnesses. </w:t>
      </w:r>
    </w:p>
    <w:p w14:paraId="1A655428" w14:textId="77777777" w:rsidR="00EC5F01" w:rsidRPr="00EC5F01" w:rsidRDefault="00EA32B3" w:rsidP="00C509A1">
      <w:pPr>
        <w:pStyle w:val="NormalWeb"/>
        <w:shd w:val="clear" w:color="auto" w:fill="FFFFFF"/>
        <w:spacing w:before="200" w:beforeAutospacing="0" w:after="200" w:afterAutospacing="0"/>
        <w:rPr>
          <w:rFonts w:ascii="Arial" w:hAnsi="Arial" w:cs="Arial"/>
          <w:color w:val="252525"/>
          <w:sz w:val="27"/>
          <w:szCs w:val="27"/>
        </w:rPr>
      </w:pPr>
      <w:hyperlink r:id="rId14" w:history="1">
        <w:r w:rsidR="00EC5F01" w:rsidRPr="00EC5F01">
          <w:rPr>
            <w:rStyle w:val="Hyperlink"/>
            <w:rFonts w:cs="Arial"/>
            <w:color w:val="008CDD"/>
            <w:sz w:val="27"/>
            <w:szCs w:val="27"/>
          </w:rPr>
          <w:t>Living Trust (Revocable)</w:t>
        </w:r>
      </w:hyperlink>
      <w:r w:rsidR="00EC5F01" w:rsidRPr="00EC5F01">
        <w:rPr>
          <w:rFonts w:ascii="Arial" w:hAnsi="Arial" w:cs="Arial"/>
          <w:color w:val="252525"/>
          <w:sz w:val="27"/>
          <w:szCs w:val="27"/>
        </w:rPr>
        <w:t> – Allows the principal to transfer ownership of their assets to an entity that they can control themselves or have managed by another individual. Like a last will and testament, the principal can designate assets to the trust and identify their beneficiaries. The primary difference between the two documents is that a living trust </w:t>
      </w:r>
      <w:r w:rsidR="00EC5F01" w:rsidRPr="00EC5F01">
        <w:rPr>
          <w:rStyle w:val="Strong"/>
          <w:rFonts w:ascii="Arial" w:hAnsi="Arial" w:cs="Arial"/>
          <w:color w:val="252525"/>
          <w:sz w:val="27"/>
          <w:szCs w:val="27"/>
        </w:rPr>
        <w:t>will not be reviewed by the probate court </w:t>
      </w:r>
      <w:r w:rsidR="00EC5F01" w:rsidRPr="00EC5F01">
        <w:rPr>
          <w:rFonts w:ascii="Arial" w:hAnsi="Arial" w:cs="Arial"/>
          <w:color w:val="252525"/>
          <w:sz w:val="27"/>
          <w:szCs w:val="27"/>
        </w:rPr>
        <w:t>resulting in the potential immediate distribution of assets following the principal’s death.</w:t>
      </w:r>
    </w:p>
    <w:p w14:paraId="3C5A4A8A" w14:textId="77777777" w:rsidR="00EC5F01" w:rsidRPr="00EC5F01" w:rsidRDefault="00EC5F01" w:rsidP="00C509A1">
      <w:pPr>
        <w:numPr>
          <w:ilvl w:val="0"/>
          <w:numId w:val="9"/>
        </w:numPr>
        <w:shd w:val="clear" w:color="auto" w:fill="FFFFFF"/>
        <w:spacing w:before="200" w:after="200" w:line="300" w:lineRule="atLeast"/>
        <w:ind w:left="375"/>
        <w:rPr>
          <w:rFonts w:ascii="Arial" w:eastAsia="Times New Roman" w:hAnsi="Arial" w:cs="Arial"/>
          <w:color w:val="252525"/>
          <w:sz w:val="27"/>
          <w:szCs w:val="27"/>
        </w:rPr>
      </w:pPr>
      <w:r w:rsidRPr="00EC5F01">
        <w:rPr>
          <w:rStyle w:val="Strong"/>
          <w:rFonts w:ascii="Arial" w:eastAsia="Times New Roman" w:hAnsi="Arial" w:cs="Arial"/>
          <w:color w:val="252525"/>
          <w:sz w:val="27"/>
          <w:szCs w:val="27"/>
        </w:rPr>
        <w:t>Signing Requirements </w:t>
      </w:r>
      <w:r w:rsidRPr="00EC5F01">
        <w:rPr>
          <w:rFonts w:ascii="Arial" w:eastAsia="Times New Roman" w:hAnsi="Arial" w:cs="Arial"/>
          <w:color w:val="252525"/>
          <w:sz w:val="27"/>
          <w:szCs w:val="27"/>
        </w:rPr>
        <w:t>– It is best for the principal to sign the document in the presence of a notary public and two (2) witnesses.</w:t>
      </w:r>
    </w:p>
    <w:p w14:paraId="6EEA58F6" w14:textId="77777777" w:rsidR="00EC5F01" w:rsidRPr="00EC5F01" w:rsidRDefault="00EC5F01" w:rsidP="00C509A1">
      <w:pPr>
        <w:pStyle w:val="Heading3"/>
        <w:shd w:val="clear" w:color="auto" w:fill="FFFFFF"/>
        <w:spacing w:before="200" w:beforeAutospacing="0" w:after="200" w:afterAutospacing="0" w:line="360" w:lineRule="atLeast"/>
        <w:rPr>
          <w:rFonts w:ascii="Arial" w:eastAsia="Times New Roman" w:hAnsi="Arial" w:cs="Arial"/>
          <w:b w:val="0"/>
          <w:bCs w:val="0"/>
          <w:color w:val="252525"/>
          <w:sz w:val="32"/>
          <w:szCs w:val="32"/>
        </w:rPr>
      </w:pPr>
      <w:r w:rsidRPr="00EC5F01">
        <w:rPr>
          <w:rStyle w:val="Strong"/>
          <w:rFonts w:ascii="Arial" w:eastAsia="Times New Roman" w:hAnsi="Arial" w:cs="Arial"/>
          <w:b/>
          <w:bCs/>
          <w:color w:val="252525"/>
          <w:sz w:val="32"/>
          <w:szCs w:val="32"/>
        </w:rPr>
        <w:t>Step 6 – Protect Estate Documents</w:t>
      </w:r>
    </w:p>
    <w:p w14:paraId="2F63C47D" w14:textId="77777777" w:rsidR="00EC5F01" w:rsidRPr="00EC5F01" w:rsidRDefault="00EC5F01" w:rsidP="00C509A1">
      <w:pPr>
        <w:pStyle w:val="NormalWeb"/>
        <w:shd w:val="clear" w:color="auto" w:fill="FFFFFF"/>
        <w:spacing w:before="200" w:beforeAutospacing="0" w:after="200" w:afterAutospacing="0"/>
        <w:rPr>
          <w:rFonts w:ascii="Arial" w:hAnsi="Arial" w:cs="Arial"/>
          <w:color w:val="252525"/>
          <w:sz w:val="27"/>
          <w:szCs w:val="27"/>
        </w:rPr>
      </w:pPr>
      <w:r w:rsidRPr="00EC5F01">
        <w:rPr>
          <w:rFonts w:ascii="Arial" w:hAnsi="Arial" w:cs="Arial"/>
          <w:color w:val="252525"/>
          <w:sz w:val="27"/>
          <w:szCs w:val="27"/>
        </w:rPr>
        <w:t>With the estate preparation documents completed, the final step will be to store the paperwork in a safe place that is secure but can be accessed by an agent or other trusted party when necessary. It is best to keep the documents with the parties named in the estate planning instruments such as the principal’s attorney, spouse, children, or close friends. Caution should be taken when informing non-pertinent parties of the location of the estate documents as this will prevent unauthorized individuals from modifying the forms without the principal’s consent.</w:t>
      </w:r>
    </w:p>
    <w:p w14:paraId="2175B146" w14:textId="0064B9EF" w:rsidR="00EC5F01" w:rsidRPr="00EC5F01" w:rsidRDefault="00406E83" w:rsidP="00C509A1">
      <w:pPr>
        <w:pStyle w:val="Heading1"/>
        <w:shd w:val="clear" w:color="auto" w:fill="FFFFFF"/>
        <w:spacing w:before="0" w:beforeAutospacing="0" w:after="0" w:afterAutospacing="0" w:line="360" w:lineRule="atLeast"/>
        <w:rPr>
          <w:rFonts w:ascii="Arial" w:eastAsia="Times New Roman" w:hAnsi="Arial" w:cs="Arial"/>
          <w:color w:val="252525"/>
          <w:sz w:val="36"/>
          <w:szCs w:val="36"/>
        </w:rPr>
      </w:pPr>
      <w:r>
        <w:rPr>
          <w:rFonts w:ascii="Arial" w:eastAsia="Times New Roman" w:hAnsi="Arial" w:cs="Arial"/>
          <w:color w:val="252525"/>
          <w:sz w:val="36"/>
          <w:szCs w:val="36"/>
        </w:rPr>
        <w:t>Florida</w:t>
      </w:r>
      <w:bookmarkStart w:id="0" w:name="_GoBack"/>
      <w:bookmarkEnd w:id="0"/>
      <w:r w:rsidR="00EC5F01" w:rsidRPr="00EC5F01">
        <w:rPr>
          <w:rFonts w:ascii="Arial" w:eastAsia="Times New Roman" w:hAnsi="Arial" w:cs="Arial"/>
          <w:color w:val="252525"/>
          <w:sz w:val="36"/>
          <w:szCs w:val="36"/>
        </w:rPr>
        <w:t xml:space="preserve"> Estate Planning Laws</w:t>
      </w:r>
    </w:p>
    <w:p w14:paraId="3B1E974F" w14:textId="77777777" w:rsidR="00EC5F01" w:rsidRPr="00EC5F01" w:rsidRDefault="00EC5F01" w:rsidP="00C509A1">
      <w:pPr>
        <w:numPr>
          <w:ilvl w:val="0"/>
          <w:numId w:val="10"/>
        </w:numPr>
        <w:shd w:val="clear" w:color="auto" w:fill="FFFFFF"/>
        <w:spacing w:line="300" w:lineRule="atLeast"/>
        <w:ind w:left="375"/>
        <w:rPr>
          <w:rFonts w:ascii="Arial" w:eastAsia="Times New Roman" w:hAnsi="Arial" w:cs="Arial"/>
          <w:color w:val="252525"/>
          <w:sz w:val="27"/>
          <w:szCs w:val="27"/>
        </w:rPr>
      </w:pPr>
      <w:r w:rsidRPr="00EC5F01">
        <w:rPr>
          <w:rStyle w:val="Strong"/>
          <w:rFonts w:ascii="Arial" w:eastAsia="Times New Roman" w:hAnsi="Arial" w:cs="Arial"/>
          <w:color w:val="252525"/>
          <w:sz w:val="27"/>
          <w:szCs w:val="27"/>
        </w:rPr>
        <w:t>Durable Power of Attorney for Health Care</w:t>
      </w:r>
      <w:r w:rsidRPr="00EC5F01">
        <w:rPr>
          <w:rFonts w:ascii="Arial" w:eastAsia="Times New Roman" w:hAnsi="Arial" w:cs="Arial"/>
          <w:color w:val="252525"/>
          <w:sz w:val="27"/>
          <w:szCs w:val="27"/>
        </w:rPr>
        <w:t> – </w:t>
      </w:r>
      <w:hyperlink r:id="rId15" w:tgtFrame="_blank" w:history="1">
        <w:r w:rsidRPr="00EC5F01">
          <w:rPr>
            <w:rStyle w:val="Hyperlink"/>
            <w:rFonts w:eastAsia="Times New Roman" w:cs="Arial"/>
            <w:color w:val="008CDD"/>
            <w:sz w:val="27"/>
            <w:szCs w:val="27"/>
          </w:rPr>
          <w:t>Chapter 765, Part II</w:t>
        </w:r>
      </w:hyperlink>
    </w:p>
    <w:p w14:paraId="1F9F731D" w14:textId="77777777" w:rsidR="00EC5F01" w:rsidRPr="00EC5F01" w:rsidRDefault="00EC5F01" w:rsidP="00C509A1">
      <w:pPr>
        <w:numPr>
          <w:ilvl w:val="0"/>
          <w:numId w:val="10"/>
        </w:numPr>
        <w:shd w:val="clear" w:color="auto" w:fill="FFFFFF"/>
        <w:spacing w:line="300" w:lineRule="atLeast"/>
        <w:ind w:left="375"/>
        <w:rPr>
          <w:rFonts w:ascii="Arial" w:eastAsia="Times New Roman" w:hAnsi="Arial" w:cs="Arial"/>
          <w:color w:val="252525"/>
          <w:sz w:val="27"/>
          <w:szCs w:val="27"/>
        </w:rPr>
      </w:pPr>
      <w:r w:rsidRPr="00EC5F01">
        <w:rPr>
          <w:rStyle w:val="Strong"/>
          <w:rFonts w:ascii="Arial" w:eastAsia="Times New Roman" w:hAnsi="Arial" w:cs="Arial"/>
          <w:color w:val="252525"/>
          <w:sz w:val="27"/>
          <w:szCs w:val="27"/>
        </w:rPr>
        <w:t>Durable (Financial) Power of Attorney</w:t>
      </w:r>
      <w:r w:rsidRPr="00EC5F01">
        <w:rPr>
          <w:rFonts w:ascii="Arial" w:eastAsia="Times New Roman" w:hAnsi="Arial" w:cs="Arial"/>
          <w:color w:val="252525"/>
          <w:sz w:val="27"/>
          <w:szCs w:val="27"/>
        </w:rPr>
        <w:t> – </w:t>
      </w:r>
      <w:hyperlink r:id="rId16" w:tgtFrame="_blank" w:history="1">
        <w:r w:rsidRPr="00EC5F01">
          <w:rPr>
            <w:rStyle w:val="Hyperlink"/>
            <w:rFonts w:eastAsia="Times New Roman" w:cs="Arial"/>
            <w:color w:val="008CDD"/>
            <w:sz w:val="27"/>
            <w:szCs w:val="27"/>
          </w:rPr>
          <w:t>Chapter 709, Part II</w:t>
        </w:r>
      </w:hyperlink>
    </w:p>
    <w:p w14:paraId="430FE8F7" w14:textId="77777777" w:rsidR="00EC5F01" w:rsidRPr="00EC5F01" w:rsidRDefault="00EC5F01" w:rsidP="00C509A1">
      <w:pPr>
        <w:numPr>
          <w:ilvl w:val="0"/>
          <w:numId w:val="10"/>
        </w:numPr>
        <w:shd w:val="clear" w:color="auto" w:fill="FFFFFF"/>
        <w:spacing w:line="300" w:lineRule="atLeast"/>
        <w:ind w:left="375"/>
        <w:rPr>
          <w:rFonts w:ascii="Arial" w:eastAsia="Times New Roman" w:hAnsi="Arial" w:cs="Arial"/>
          <w:color w:val="252525"/>
          <w:sz w:val="27"/>
          <w:szCs w:val="27"/>
        </w:rPr>
      </w:pPr>
      <w:r w:rsidRPr="00EC5F01">
        <w:rPr>
          <w:rStyle w:val="Strong"/>
          <w:rFonts w:ascii="Arial" w:eastAsia="Times New Roman" w:hAnsi="Arial" w:cs="Arial"/>
          <w:color w:val="252525"/>
          <w:sz w:val="27"/>
          <w:szCs w:val="27"/>
        </w:rPr>
        <w:t>Last Will and Testament</w:t>
      </w:r>
      <w:r w:rsidRPr="00EC5F01">
        <w:rPr>
          <w:rFonts w:ascii="Arial" w:eastAsia="Times New Roman" w:hAnsi="Arial" w:cs="Arial"/>
          <w:color w:val="252525"/>
          <w:sz w:val="27"/>
          <w:szCs w:val="27"/>
        </w:rPr>
        <w:t> – </w:t>
      </w:r>
      <w:hyperlink r:id="rId17" w:tgtFrame="_blank" w:history="1">
        <w:r w:rsidRPr="00EC5F01">
          <w:rPr>
            <w:rStyle w:val="Hyperlink"/>
            <w:rFonts w:eastAsia="Times New Roman" w:cs="Arial"/>
            <w:color w:val="008CDD"/>
            <w:sz w:val="27"/>
            <w:szCs w:val="27"/>
          </w:rPr>
          <w:t>Chapter 732, Part V</w:t>
        </w:r>
      </w:hyperlink>
    </w:p>
    <w:p w14:paraId="546925DE" w14:textId="77777777" w:rsidR="00EC5F01" w:rsidRPr="00EC5F01" w:rsidRDefault="00EC5F01" w:rsidP="00C509A1">
      <w:pPr>
        <w:numPr>
          <w:ilvl w:val="0"/>
          <w:numId w:val="10"/>
        </w:numPr>
        <w:shd w:val="clear" w:color="auto" w:fill="FFFFFF"/>
        <w:spacing w:line="300" w:lineRule="atLeast"/>
        <w:ind w:left="375"/>
        <w:rPr>
          <w:rFonts w:ascii="Arial" w:eastAsia="Times New Roman" w:hAnsi="Arial" w:cs="Arial"/>
          <w:color w:val="252525"/>
          <w:sz w:val="27"/>
          <w:szCs w:val="27"/>
        </w:rPr>
      </w:pPr>
      <w:r w:rsidRPr="00EC5F01">
        <w:rPr>
          <w:rStyle w:val="Strong"/>
          <w:rFonts w:ascii="Arial" w:eastAsia="Times New Roman" w:hAnsi="Arial" w:cs="Arial"/>
          <w:color w:val="252525"/>
          <w:sz w:val="27"/>
          <w:szCs w:val="27"/>
        </w:rPr>
        <w:t>Revocable Living Trust</w:t>
      </w:r>
      <w:r w:rsidRPr="00EC5F01">
        <w:rPr>
          <w:rFonts w:ascii="Arial" w:eastAsia="Times New Roman" w:hAnsi="Arial" w:cs="Arial"/>
          <w:color w:val="252525"/>
          <w:sz w:val="27"/>
          <w:szCs w:val="27"/>
        </w:rPr>
        <w:t> – </w:t>
      </w:r>
      <w:hyperlink r:id="rId18" w:tgtFrame="_blank" w:history="1">
        <w:r w:rsidRPr="00EC5F01">
          <w:rPr>
            <w:rStyle w:val="Hyperlink"/>
            <w:rFonts w:eastAsia="Times New Roman" w:cs="Arial"/>
            <w:color w:val="008CDD"/>
            <w:sz w:val="27"/>
            <w:szCs w:val="27"/>
          </w:rPr>
          <w:t>Chapter 736, Part VI</w:t>
        </w:r>
      </w:hyperlink>
    </w:p>
    <w:p w14:paraId="3E129E9A" w14:textId="77777777" w:rsidR="00E75200" w:rsidRPr="00EC5F01" w:rsidRDefault="00E75200" w:rsidP="00C509A1">
      <w:pPr>
        <w:spacing w:before="200" w:after="200"/>
        <w:rPr>
          <w:rFonts w:ascii="Arial" w:hAnsi="Arial" w:cs="Arial"/>
          <w:sz w:val="27"/>
          <w:szCs w:val="27"/>
          <w:lang w:val="en-CA"/>
        </w:rPr>
      </w:pPr>
    </w:p>
    <w:sectPr w:rsidR="00E75200" w:rsidRPr="00EC5F01" w:rsidSect="00F052B0">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BAE4" w14:textId="77777777" w:rsidR="00EA32B3" w:rsidRDefault="00EA32B3" w:rsidP="00E75200">
      <w:r>
        <w:separator/>
      </w:r>
    </w:p>
  </w:endnote>
  <w:endnote w:type="continuationSeparator" w:id="0">
    <w:p w14:paraId="2403D9F5" w14:textId="77777777" w:rsidR="00EA32B3" w:rsidRDefault="00EA32B3" w:rsidP="00E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9908" w14:textId="77777777" w:rsidR="000925F6" w:rsidRPr="00BE4C06" w:rsidRDefault="000925F6" w:rsidP="000925F6">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8E11B7">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8E11B7">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1CD2BF7" w14:textId="40892C84" w:rsidR="000925F6" w:rsidRPr="000925F6" w:rsidRDefault="000925F6" w:rsidP="000925F6">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5040B825" wp14:editId="5DE54B5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CC85" w14:textId="77777777" w:rsidR="00EA32B3" w:rsidRDefault="00EA32B3" w:rsidP="00E75200">
      <w:r>
        <w:separator/>
      </w:r>
    </w:p>
  </w:footnote>
  <w:footnote w:type="continuationSeparator" w:id="0">
    <w:p w14:paraId="3D4BF1EA" w14:textId="77777777" w:rsidR="00EA32B3" w:rsidRDefault="00EA32B3" w:rsidP="00E7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BA3"/>
    <w:multiLevelType w:val="multilevel"/>
    <w:tmpl w:val="E00E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87C19"/>
    <w:multiLevelType w:val="multilevel"/>
    <w:tmpl w:val="175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055AD"/>
    <w:multiLevelType w:val="hybridMultilevel"/>
    <w:tmpl w:val="1CD4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4644D"/>
    <w:multiLevelType w:val="hybridMultilevel"/>
    <w:tmpl w:val="B082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72491"/>
    <w:multiLevelType w:val="multilevel"/>
    <w:tmpl w:val="0DE4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B29DD"/>
    <w:multiLevelType w:val="hybridMultilevel"/>
    <w:tmpl w:val="74C6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A0905"/>
    <w:multiLevelType w:val="multilevel"/>
    <w:tmpl w:val="73E0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A6F79"/>
    <w:multiLevelType w:val="multilevel"/>
    <w:tmpl w:val="AD1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422CD"/>
    <w:multiLevelType w:val="multilevel"/>
    <w:tmpl w:val="8624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1145C"/>
    <w:multiLevelType w:val="multilevel"/>
    <w:tmpl w:val="66C2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3"/>
  </w:num>
  <w:num w:numId="5">
    <w:abstractNumId w:val="4"/>
  </w:num>
  <w:num w:numId="6">
    <w:abstractNumId w:val="6"/>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2E8"/>
    <w:rsid w:val="000029FD"/>
    <w:rsid w:val="000338CD"/>
    <w:rsid w:val="0005382D"/>
    <w:rsid w:val="000925F6"/>
    <w:rsid w:val="000E2F87"/>
    <w:rsid w:val="001170CB"/>
    <w:rsid w:val="001734DA"/>
    <w:rsid w:val="002135D9"/>
    <w:rsid w:val="002546E7"/>
    <w:rsid w:val="0028196B"/>
    <w:rsid w:val="002A2C50"/>
    <w:rsid w:val="002B72BC"/>
    <w:rsid w:val="002E49CD"/>
    <w:rsid w:val="0031084F"/>
    <w:rsid w:val="00345723"/>
    <w:rsid w:val="003719C5"/>
    <w:rsid w:val="00394045"/>
    <w:rsid w:val="00406E83"/>
    <w:rsid w:val="00414B38"/>
    <w:rsid w:val="004322E8"/>
    <w:rsid w:val="004B2912"/>
    <w:rsid w:val="00517207"/>
    <w:rsid w:val="005449BA"/>
    <w:rsid w:val="00545424"/>
    <w:rsid w:val="005557DF"/>
    <w:rsid w:val="00567CB5"/>
    <w:rsid w:val="005B653C"/>
    <w:rsid w:val="0060390D"/>
    <w:rsid w:val="00651936"/>
    <w:rsid w:val="00686B58"/>
    <w:rsid w:val="0069060F"/>
    <w:rsid w:val="006D76ED"/>
    <w:rsid w:val="006F165F"/>
    <w:rsid w:val="00707CF0"/>
    <w:rsid w:val="00765760"/>
    <w:rsid w:val="007E1FB4"/>
    <w:rsid w:val="008126CC"/>
    <w:rsid w:val="008E11B7"/>
    <w:rsid w:val="00933B9F"/>
    <w:rsid w:val="00983358"/>
    <w:rsid w:val="009A3F66"/>
    <w:rsid w:val="009B2B96"/>
    <w:rsid w:val="009E0B29"/>
    <w:rsid w:val="009E4063"/>
    <w:rsid w:val="00A3354E"/>
    <w:rsid w:val="00A476D1"/>
    <w:rsid w:val="00AE4793"/>
    <w:rsid w:val="00AF4C63"/>
    <w:rsid w:val="00B70D9B"/>
    <w:rsid w:val="00B95524"/>
    <w:rsid w:val="00BA30F6"/>
    <w:rsid w:val="00BD7843"/>
    <w:rsid w:val="00BE3D16"/>
    <w:rsid w:val="00C509A1"/>
    <w:rsid w:val="00C57507"/>
    <w:rsid w:val="00CE3481"/>
    <w:rsid w:val="00CE7799"/>
    <w:rsid w:val="00CE7E0C"/>
    <w:rsid w:val="00CF1711"/>
    <w:rsid w:val="00D04900"/>
    <w:rsid w:val="00D3040B"/>
    <w:rsid w:val="00D82797"/>
    <w:rsid w:val="00E20700"/>
    <w:rsid w:val="00E4169E"/>
    <w:rsid w:val="00E4277C"/>
    <w:rsid w:val="00E61436"/>
    <w:rsid w:val="00E62E8E"/>
    <w:rsid w:val="00E75200"/>
    <w:rsid w:val="00EA32B3"/>
    <w:rsid w:val="00EA7FDA"/>
    <w:rsid w:val="00EB477A"/>
    <w:rsid w:val="00EC5F01"/>
    <w:rsid w:val="00EE1D22"/>
    <w:rsid w:val="00F052B0"/>
    <w:rsid w:val="00F63CE3"/>
    <w:rsid w:val="00F9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ECC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C5F01"/>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EC5F01"/>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paragraph" w:styleId="Header">
    <w:name w:val="header"/>
    <w:basedOn w:val="Normal"/>
    <w:link w:val="HeaderChar"/>
    <w:uiPriority w:val="99"/>
    <w:unhideWhenUsed/>
    <w:rsid w:val="00E75200"/>
    <w:pPr>
      <w:tabs>
        <w:tab w:val="center" w:pos="4680"/>
        <w:tab w:val="right" w:pos="9360"/>
      </w:tabs>
    </w:pPr>
  </w:style>
  <w:style w:type="character" w:customStyle="1" w:styleId="HeaderChar">
    <w:name w:val="Header Char"/>
    <w:basedOn w:val="DefaultParagraphFont"/>
    <w:link w:val="Header"/>
    <w:uiPriority w:val="99"/>
    <w:rsid w:val="00E75200"/>
  </w:style>
  <w:style w:type="paragraph" w:styleId="Footer">
    <w:name w:val="footer"/>
    <w:basedOn w:val="Normal"/>
    <w:link w:val="FooterChar"/>
    <w:uiPriority w:val="99"/>
    <w:unhideWhenUsed/>
    <w:rsid w:val="00E75200"/>
    <w:pPr>
      <w:tabs>
        <w:tab w:val="center" w:pos="4680"/>
        <w:tab w:val="right" w:pos="9360"/>
      </w:tabs>
    </w:pPr>
  </w:style>
  <w:style w:type="character" w:customStyle="1" w:styleId="FooterChar">
    <w:name w:val="Footer Char"/>
    <w:basedOn w:val="DefaultParagraphFont"/>
    <w:link w:val="Footer"/>
    <w:uiPriority w:val="99"/>
    <w:rsid w:val="00E75200"/>
  </w:style>
  <w:style w:type="paragraph" w:styleId="ListParagraph">
    <w:name w:val="List Paragraph"/>
    <w:basedOn w:val="Normal"/>
    <w:uiPriority w:val="34"/>
    <w:qFormat/>
    <w:rsid w:val="00E75200"/>
    <w:pPr>
      <w:ind w:left="720"/>
      <w:contextualSpacing/>
    </w:pPr>
  </w:style>
  <w:style w:type="paragraph" w:customStyle="1" w:styleId="indent-4">
    <w:name w:val="indent-4"/>
    <w:basedOn w:val="Normal"/>
    <w:rsid w:val="000E2F87"/>
    <w:pPr>
      <w:spacing w:before="100" w:beforeAutospacing="1" w:after="100" w:afterAutospacing="1"/>
    </w:pPr>
    <w:rPr>
      <w:rFonts w:ascii="Times New Roman" w:hAnsi="Times New Roman" w:cs="Times New Roman"/>
      <w:lang w:eastAsia="zh-CN"/>
    </w:rPr>
  </w:style>
  <w:style w:type="paragraph" w:customStyle="1" w:styleId="indent-2">
    <w:name w:val="indent-2"/>
    <w:basedOn w:val="Normal"/>
    <w:rsid w:val="000E2F87"/>
    <w:pPr>
      <w:spacing w:before="100" w:beforeAutospacing="1" w:after="100" w:afterAutospacing="1"/>
    </w:pPr>
    <w:rPr>
      <w:rFonts w:ascii="Times New Roman" w:hAnsi="Times New Roman" w:cs="Times New Roman"/>
      <w:lang w:eastAsia="zh-CN"/>
    </w:rPr>
  </w:style>
  <w:style w:type="character" w:styleId="FollowedHyperlink">
    <w:name w:val="FollowedHyperlink"/>
    <w:basedOn w:val="DefaultParagraphFont"/>
    <w:uiPriority w:val="99"/>
    <w:semiHidden/>
    <w:unhideWhenUsed/>
    <w:rsid w:val="00CF1711"/>
    <w:rPr>
      <w:color w:val="954F72" w:themeColor="followedHyperlink"/>
      <w:u w:val="single"/>
    </w:rPr>
  </w:style>
  <w:style w:type="paragraph" w:customStyle="1" w:styleId="indent-1">
    <w:name w:val="indent-1"/>
    <w:basedOn w:val="Normal"/>
    <w:rsid w:val="00D04900"/>
    <w:pPr>
      <w:spacing w:before="100" w:beforeAutospacing="1" w:after="100" w:afterAutospacing="1"/>
    </w:pPr>
    <w:rPr>
      <w:rFonts w:ascii="Times New Roman" w:hAnsi="Times New Roman" w:cs="Times New Roman"/>
      <w:lang w:eastAsia="zh-CN"/>
    </w:rPr>
  </w:style>
  <w:style w:type="paragraph" w:styleId="NormalWeb">
    <w:name w:val="Normal (Web)"/>
    <w:basedOn w:val="Normal"/>
    <w:uiPriority w:val="99"/>
    <w:unhideWhenUsed/>
    <w:rsid w:val="00394045"/>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394045"/>
    <w:rPr>
      <w:b/>
      <w:bCs/>
    </w:rPr>
  </w:style>
  <w:style w:type="character" w:customStyle="1" w:styleId="Heading1Char">
    <w:name w:val="Heading 1 Char"/>
    <w:basedOn w:val="DefaultParagraphFont"/>
    <w:link w:val="Heading1"/>
    <w:uiPriority w:val="9"/>
    <w:rsid w:val="00EC5F01"/>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EC5F01"/>
    <w:rPr>
      <w:rFonts w:ascii="Times New Roman" w:hAnsi="Times New Roman" w:cs="Times New Roman"/>
      <w:b/>
      <w:bCs/>
      <w:sz w:val="27"/>
      <w:szCs w:val="27"/>
      <w:lang w:eastAsia="zh-CN"/>
    </w:rPr>
  </w:style>
  <w:style w:type="character" w:customStyle="1" w:styleId="sectionnumber">
    <w:name w:val="sectionnumber"/>
    <w:basedOn w:val="DefaultParagraphFont"/>
    <w:rsid w:val="00EC5F01"/>
  </w:style>
  <w:style w:type="character" w:styleId="PageNumber">
    <w:name w:val="page number"/>
    <w:basedOn w:val="DefaultParagraphFont"/>
    <w:uiPriority w:val="99"/>
    <w:rsid w:val="0009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4840">
      <w:bodyDiv w:val="1"/>
      <w:marLeft w:val="0"/>
      <w:marRight w:val="0"/>
      <w:marTop w:val="0"/>
      <w:marBottom w:val="0"/>
      <w:divBdr>
        <w:top w:val="none" w:sz="0" w:space="0" w:color="auto"/>
        <w:left w:val="none" w:sz="0" w:space="0" w:color="auto"/>
        <w:bottom w:val="none" w:sz="0" w:space="0" w:color="auto"/>
        <w:right w:val="none" w:sz="0" w:space="0" w:color="auto"/>
      </w:divBdr>
    </w:div>
    <w:div w:id="283539495">
      <w:bodyDiv w:val="1"/>
      <w:marLeft w:val="0"/>
      <w:marRight w:val="0"/>
      <w:marTop w:val="0"/>
      <w:marBottom w:val="0"/>
      <w:divBdr>
        <w:top w:val="none" w:sz="0" w:space="0" w:color="auto"/>
        <w:left w:val="none" w:sz="0" w:space="0" w:color="auto"/>
        <w:bottom w:val="none" w:sz="0" w:space="0" w:color="auto"/>
        <w:right w:val="none" w:sz="0" w:space="0" w:color="auto"/>
      </w:divBdr>
    </w:div>
    <w:div w:id="319891461">
      <w:bodyDiv w:val="1"/>
      <w:marLeft w:val="0"/>
      <w:marRight w:val="0"/>
      <w:marTop w:val="0"/>
      <w:marBottom w:val="0"/>
      <w:divBdr>
        <w:top w:val="none" w:sz="0" w:space="0" w:color="auto"/>
        <w:left w:val="none" w:sz="0" w:space="0" w:color="auto"/>
        <w:bottom w:val="none" w:sz="0" w:space="0" w:color="auto"/>
        <w:right w:val="none" w:sz="0" w:space="0" w:color="auto"/>
      </w:divBdr>
    </w:div>
    <w:div w:id="489101102">
      <w:bodyDiv w:val="1"/>
      <w:marLeft w:val="0"/>
      <w:marRight w:val="0"/>
      <w:marTop w:val="0"/>
      <w:marBottom w:val="0"/>
      <w:divBdr>
        <w:top w:val="none" w:sz="0" w:space="0" w:color="auto"/>
        <w:left w:val="none" w:sz="0" w:space="0" w:color="auto"/>
        <w:bottom w:val="none" w:sz="0" w:space="0" w:color="auto"/>
        <w:right w:val="none" w:sz="0" w:space="0" w:color="auto"/>
      </w:divBdr>
    </w:div>
    <w:div w:id="511843023">
      <w:bodyDiv w:val="1"/>
      <w:marLeft w:val="0"/>
      <w:marRight w:val="0"/>
      <w:marTop w:val="0"/>
      <w:marBottom w:val="0"/>
      <w:divBdr>
        <w:top w:val="none" w:sz="0" w:space="0" w:color="auto"/>
        <w:left w:val="none" w:sz="0" w:space="0" w:color="auto"/>
        <w:bottom w:val="none" w:sz="0" w:space="0" w:color="auto"/>
        <w:right w:val="none" w:sz="0" w:space="0" w:color="auto"/>
      </w:divBdr>
    </w:div>
    <w:div w:id="516892565">
      <w:bodyDiv w:val="1"/>
      <w:marLeft w:val="0"/>
      <w:marRight w:val="0"/>
      <w:marTop w:val="0"/>
      <w:marBottom w:val="0"/>
      <w:divBdr>
        <w:top w:val="none" w:sz="0" w:space="0" w:color="auto"/>
        <w:left w:val="none" w:sz="0" w:space="0" w:color="auto"/>
        <w:bottom w:val="none" w:sz="0" w:space="0" w:color="auto"/>
        <w:right w:val="none" w:sz="0" w:space="0" w:color="auto"/>
      </w:divBdr>
    </w:div>
    <w:div w:id="1292588548">
      <w:bodyDiv w:val="1"/>
      <w:marLeft w:val="0"/>
      <w:marRight w:val="0"/>
      <w:marTop w:val="0"/>
      <w:marBottom w:val="0"/>
      <w:divBdr>
        <w:top w:val="none" w:sz="0" w:space="0" w:color="auto"/>
        <w:left w:val="none" w:sz="0" w:space="0" w:color="auto"/>
        <w:bottom w:val="none" w:sz="0" w:space="0" w:color="auto"/>
        <w:right w:val="none" w:sz="0" w:space="0" w:color="auto"/>
      </w:divBdr>
    </w:div>
    <w:div w:id="1361203323">
      <w:bodyDiv w:val="1"/>
      <w:marLeft w:val="0"/>
      <w:marRight w:val="0"/>
      <w:marTop w:val="0"/>
      <w:marBottom w:val="0"/>
      <w:divBdr>
        <w:top w:val="none" w:sz="0" w:space="0" w:color="auto"/>
        <w:left w:val="none" w:sz="0" w:space="0" w:color="auto"/>
        <w:bottom w:val="none" w:sz="0" w:space="0" w:color="auto"/>
        <w:right w:val="none" w:sz="0" w:space="0" w:color="auto"/>
      </w:divBdr>
    </w:div>
    <w:div w:id="1411656399">
      <w:bodyDiv w:val="1"/>
      <w:marLeft w:val="0"/>
      <w:marRight w:val="0"/>
      <w:marTop w:val="0"/>
      <w:marBottom w:val="0"/>
      <w:divBdr>
        <w:top w:val="none" w:sz="0" w:space="0" w:color="auto"/>
        <w:left w:val="none" w:sz="0" w:space="0" w:color="auto"/>
        <w:bottom w:val="none" w:sz="0" w:space="0" w:color="auto"/>
        <w:right w:val="none" w:sz="0" w:space="0" w:color="auto"/>
      </w:divBdr>
    </w:div>
    <w:div w:id="1582448069">
      <w:bodyDiv w:val="1"/>
      <w:marLeft w:val="0"/>
      <w:marRight w:val="0"/>
      <w:marTop w:val="0"/>
      <w:marBottom w:val="0"/>
      <w:divBdr>
        <w:top w:val="none" w:sz="0" w:space="0" w:color="auto"/>
        <w:left w:val="none" w:sz="0" w:space="0" w:color="auto"/>
        <w:bottom w:val="none" w:sz="0" w:space="0" w:color="auto"/>
        <w:right w:val="none" w:sz="0" w:space="0" w:color="auto"/>
      </w:divBdr>
    </w:div>
    <w:div w:id="183791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mode=View%20Statutes&amp;SubMenu=1&amp;App_mode=Display_Statute&amp;Search_String=765.202&amp;URL=0700-0799/0765/Sections/0765.202.html" TargetMode="External"/><Relationship Id="rId13" Type="http://schemas.openxmlformats.org/officeDocument/2006/relationships/hyperlink" Target="http://www.leg.state.fl.us/statutes/index.cfm?App_mode=Display_Statute&amp;URL=0700-0799/0732/Sections/0732.502.html" TargetMode="External"/><Relationship Id="rId18" Type="http://schemas.openxmlformats.org/officeDocument/2006/relationships/hyperlink" Target="http://www.leg.state.fl.us/statutes/index.cfm?App_mode=Display_Statute&amp;URL=0700-0799/0736/0736PartVIContentsIndex.html&amp;StatuteYear=2018&amp;Title=-%3E2018-%3EChapter%20736-%3EPart%20V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forms.com/power-of-attorney/fl/florida-designation-of-health-care-surrogate/" TargetMode="External"/><Relationship Id="rId12" Type="http://schemas.openxmlformats.org/officeDocument/2006/relationships/hyperlink" Target="https://eforms.com/wills/florida-last-will-and-testament-template/" TargetMode="External"/><Relationship Id="rId17" Type="http://schemas.openxmlformats.org/officeDocument/2006/relationships/hyperlink" Target="http://www.leg.state.fl.us/statutes/index.cfm?App_mode=Display_Statute&amp;URL=0700-0799/0732/0732PartVContentsIndex.html&amp;StatuteYear=2018&amp;Title=-%3E2018-%3EChapter%20732-%3EPart%20V" TargetMode="External"/><Relationship Id="rId2" Type="http://schemas.openxmlformats.org/officeDocument/2006/relationships/styles" Target="styles.xml"/><Relationship Id="rId16" Type="http://schemas.openxmlformats.org/officeDocument/2006/relationships/hyperlink" Target="http://www.leg.state.fl.us/statutes/index.cfm?App_mode=Display_Statute&amp;Search_String=&amp;URL=0700-0799/0709/0709PARTIIContent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estate-planning/current-assets-list/" TargetMode="External"/><Relationship Id="rId5" Type="http://schemas.openxmlformats.org/officeDocument/2006/relationships/footnotes" Target="footnotes.xml"/><Relationship Id="rId15" Type="http://schemas.openxmlformats.org/officeDocument/2006/relationships/hyperlink" Target="http://www.leg.state.fl.us/statutes/index.cfm?App_mode=Display_Statute&amp;Search_String=&amp;URL=0700-0799/0765/0765PARTIIContentsIndex.html" TargetMode="External"/><Relationship Id="rId10" Type="http://schemas.openxmlformats.org/officeDocument/2006/relationships/hyperlink" Target="http://www.leg.state.fl.us/statutes/index.cfm?mode=View%20Statutes&amp;SubMenu=1&amp;App_mode=Display_Statute&amp;Search_String=709.2105&amp;URL=0700-0799/0709/Sections/0709.2105.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forms.com/power-of-attorney/fl/florida-durable-power-of-attorney/" TargetMode="External"/><Relationship Id="rId14" Type="http://schemas.openxmlformats.org/officeDocument/2006/relationships/hyperlink" Target="https://eforms.com/living-trust/fl/florida-revocable-living-trust-f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1144</Words>
  <Characters>6224</Characters>
  <Application>Microsoft Office Word</Application>
  <DocSecurity>0</DocSecurity>
  <Lines>122</Lines>
  <Paragraphs>58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Step 1 – Choose a Health Care Surrogate</vt:lpstr>
      <vt:lpstr>        Step 2 – Choose a Financial Surrogate</vt:lpstr>
      <vt:lpstr>        Step 3 – Make a List of Personal Property and Other Assets</vt:lpstr>
      <vt:lpstr>        Step 4 – Choose the Beneficiaries of the Estate</vt:lpstr>
      <vt:lpstr>        Step 5 – Write an Estate Distribution Document</vt:lpstr>
      <vt:lpstr>        Step 6 – Protect Estate Documents</vt:lpstr>
      <vt:lpstr>Georgia Estate Planning Laws</vt:lpstr>
    </vt:vector>
  </TitlesOfParts>
  <Manager/>
  <Company/>
  <LinksUpToDate>false</LinksUpToDate>
  <CharactersWithSpaces>7310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Estate Planning Checklist</dc:title>
  <dc:subject/>
  <dc:creator>eForms</dc:creator>
  <cp:keywords/>
  <dc:description/>
  <cp:lastModifiedBy>Clayton Upex</cp:lastModifiedBy>
  <cp:revision>37</cp:revision>
  <dcterms:created xsi:type="dcterms:W3CDTF">2018-11-28T15:19:00Z</dcterms:created>
  <dcterms:modified xsi:type="dcterms:W3CDTF">2019-01-26T22:43:00Z</dcterms:modified>
  <cp:category/>
</cp:coreProperties>
</file>