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79" w:rsidRPr="00FE6C79" w:rsidRDefault="00FE6C79" w:rsidP="00FE6C79">
      <w:pPr>
        <w:shd w:val="clear" w:color="auto" w:fill="FFFFFF"/>
        <w:spacing w:beforeLines="100" w:before="240" w:afterLines="100" w:after="240"/>
        <w:jc w:val="center"/>
        <w:rPr>
          <w:rFonts w:ascii="Arial" w:eastAsia="Times New Roman" w:hAnsi="Arial" w:cs="Arial"/>
          <w:b/>
          <w:color w:val="252525"/>
          <w:sz w:val="36"/>
          <w:szCs w:val="36"/>
        </w:rPr>
      </w:pPr>
      <w:r>
        <w:rPr>
          <w:rFonts w:ascii="Arial" w:eastAsia="Times New Roman" w:hAnsi="Arial" w:cs="Arial"/>
          <w:b/>
          <w:color w:val="252525"/>
          <w:sz w:val="36"/>
          <w:szCs w:val="36"/>
        </w:rPr>
        <w:t>TEXAS ESTATE PLANNING CHECKLIST</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r w:rsidRPr="00BC5F54">
        <w:rPr>
          <w:rFonts w:ascii="Arial" w:eastAsia="Times New Roman" w:hAnsi="Arial" w:cs="Arial"/>
          <w:color w:val="252525"/>
          <w:sz w:val="27"/>
          <w:szCs w:val="27"/>
        </w:rPr>
        <w:t>The below step-by-step instructions should be used as a guideline of how one might go about organizing their affairs for the last chapter of their life. It is highly recommended that all of these documents be completed with an attorney present.</w:t>
      </w:r>
    </w:p>
    <w:p w:rsidR="00BC5F54" w:rsidRPr="00BC5F54" w:rsidRDefault="00BC5F54" w:rsidP="00BC5F54">
      <w:pPr>
        <w:shd w:val="clear" w:color="auto" w:fill="FFFFFF"/>
        <w:spacing w:beforeLines="100" w:before="240" w:afterLines="100" w:after="240"/>
        <w:outlineLvl w:val="2"/>
        <w:rPr>
          <w:rFonts w:ascii="Arial" w:eastAsia="Times New Roman" w:hAnsi="Arial" w:cs="Arial"/>
          <w:b/>
          <w:bCs/>
          <w:color w:val="252525"/>
          <w:sz w:val="32"/>
          <w:szCs w:val="32"/>
        </w:rPr>
      </w:pPr>
      <w:r w:rsidRPr="00BC5F54">
        <w:rPr>
          <w:rFonts w:ascii="Arial" w:eastAsia="Times New Roman" w:hAnsi="Arial" w:cs="Arial"/>
          <w:b/>
          <w:bCs/>
          <w:color w:val="252525"/>
          <w:sz w:val="32"/>
          <w:szCs w:val="32"/>
        </w:rPr>
        <w:t>Step 1 – Choose a Health Care Attorney-in-Fact</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r w:rsidRPr="00BC5F54">
        <w:rPr>
          <w:rFonts w:ascii="Arial" w:eastAsia="Times New Roman" w:hAnsi="Arial" w:cs="Arial"/>
          <w:color w:val="252525"/>
          <w:sz w:val="27"/>
          <w:szCs w:val="27"/>
        </w:rPr>
        <w:t>The selection of a </w:t>
      </w:r>
      <w:r w:rsidRPr="00BC5F54">
        <w:rPr>
          <w:rFonts w:ascii="Arial" w:eastAsia="Times New Roman" w:hAnsi="Arial" w:cs="Arial"/>
          <w:b/>
          <w:bCs/>
          <w:color w:val="252525"/>
          <w:sz w:val="27"/>
          <w:szCs w:val="27"/>
        </w:rPr>
        <w:t>health care attorney-in-fact</w:t>
      </w:r>
      <w:r w:rsidRPr="00BC5F54">
        <w:rPr>
          <w:rFonts w:ascii="Arial" w:eastAsia="Times New Roman" w:hAnsi="Arial" w:cs="Arial"/>
          <w:color w:val="252525"/>
          <w:sz w:val="27"/>
          <w:szCs w:val="27"/>
        </w:rPr>
        <w:t>, or agent, is a crucial step for anyone nearing the end of their life. Once t</w:t>
      </w:r>
      <w:bookmarkStart w:id="0" w:name="_GoBack"/>
      <w:bookmarkEnd w:id="0"/>
      <w:r w:rsidRPr="00BC5F54">
        <w:rPr>
          <w:rFonts w:ascii="Arial" w:eastAsia="Times New Roman" w:hAnsi="Arial" w:cs="Arial"/>
          <w:color w:val="252525"/>
          <w:sz w:val="27"/>
          <w:szCs w:val="27"/>
        </w:rPr>
        <w:t>he principal (patient) has been deemed too incapacitated to make logical decisions, the agent will be granted the authority to consent, refuse, and withdraw from health care treatments. Due to the broad scope of power bestowed on the agent, it is essential that the principal elect someone they trust, someone who they know will make executive decisions with their best interests in mind.</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hyperlink r:id="rId7" w:history="1">
        <w:r w:rsidRPr="00BC5F54">
          <w:rPr>
            <w:rFonts w:ascii="Arial" w:eastAsia="Times New Roman" w:hAnsi="Arial" w:cs="Arial"/>
            <w:color w:val="008CDD"/>
            <w:sz w:val="27"/>
            <w:szCs w:val="27"/>
          </w:rPr>
          <w:t>Durable Power of Attorney for Health Care</w:t>
        </w:r>
      </w:hyperlink>
      <w:r w:rsidRPr="00BC5F54">
        <w:rPr>
          <w:rFonts w:ascii="Arial" w:eastAsia="Times New Roman" w:hAnsi="Arial" w:cs="Arial"/>
          <w:color w:val="252525"/>
          <w:sz w:val="27"/>
          <w:szCs w:val="27"/>
        </w:rPr>
        <w:t> – This document is the instrument through which an agent will be selected. It enables the principal to choose successor agents in addition to their primary choice, and it supplies them with the ability to place limitations on the powers given to all chosen representatives. It is recommended that a physician be consulted when completing this form.</w:t>
      </w:r>
    </w:p>
    <w:p w:rsidR="00BC5F54" w:rsidRPr="00BC5F54" w:rsidRDefault="00BC5F54" w:rsidP="00BC5F54">
      <w:pPr>
        <w:numPr>
          <w:ilvl w:val="0"/>
          <w:numId w:val="12"/>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b/>
          <w:bCs/>
          <w:color w:val="252525"/>
          <w:sz w:val="27"/>
          <w:szCs w:val="27"/>
        </w:rPr>
        <w:t>Signing Requirements </w:t>
      </w:r>
      <w:r w:rsidRPr="00BC5F54">
        <w:rPr>
          <w:rFonts w:ascii="Arial" w:eastAsia="Times New Roman" w:hAnsi="Arial" w:cs="Arial"/>
          <w:color w:val="252525"/>
          <w:sz w:val="27"/>
          <w:szCs w:val="27"/>
        </w:rPr>
        <w:t>(</w:t>
      </w:r>
      <w:hyperlink r:id="rId8" w:anchor="166.031" w:tgtFrame="_blank" w:history="1">
        <w:r w:rsidRPr="00BC5F54">
          <w:rPr>
            <w:rFonts w:ascii="Arial" w:eastAsia="Times New Roman" w:hAnsi="Arial" w:cs="Arial"/>
            <w:color w:val="008CDD"/>
            <w:sz w:val="27"/>
            <w:szCs w:val="27"/>
          </w:rPr>
          <w:t>Sec. 166.154. EXECUTION</w:t>
        </w:r>
      </w:hyperlink>
      <w:r w:rsidRPr="00BC5F54">
        <w:rPr>
          <w:rFonts w:ascii="Arial" w:eastAsia="Times New Roman" w:hAnsi="Arial" w:cs="Arial"/>
          <w:color w:val="252525"/>
          <w:sz w:val="27"/>
          <w:szCs w:val="27"/>
        </w:rPr>
        <w:t>) Principal must complete form in the presence of two (2) adult witnesses </w:t>
      </w:r>
      <w:r w:rsidRPr="00BC5F54">
        <w:rPr>
          <w:rFonts w:ascii="Arial" w:eastAsia="Times New Roman" w:hAnsi="Arial" w:cs="Arial"/>
          <w:b/>
          <w:bCs/>
          <w:color w:val="252525"/>
          <w:sz w:val="27"/>
          <w:szCs w:val="27"/>
        </w:rPr>
        <w:t>or </w:t>
      </w:r>
      <w:r w:rsidRPr="00BC5F54">
        <w:rPr>
          <w:rFonts w:ascii="Arial" w:eastAsia="Times New Roman" w:hAnsi="Arial" w:cs="Arial"/>
          <w:color w:val="252525"/>
          <w:sz w:val="27"/>
          <w:szCs w:val="27"/>
        </w:rPr>
        <w:t>complete the document and have the signature acknowledged before a notary public.</w:t>
      </w:r>
    </w:p>
    <w:p w:rsidR="00BC5F54" w:rsidRPr="00BC5F54" w:rsidRDefault="00BC5F54" w:rsidP="00BC5F54">
      <w:pPr>
        <w:shd w:val="clear" w:color="auto" w:fill="FFFFFF"/>
        <w:spacing w:beforeLines="100" w:before="240" w:afterLines="100" w:after="240"/>
        <w:outlineLvl w:val="2"/>
        <w:rPr>
          <w:rFonts w:ascii="Arial" w:eastAsia="Times New Roman" w:hAnsi="Arial" w:cs="Arial"/>
          <w:b/>
          <w:color w:val="252525"/>
          <w:sz w:val="32"/>
          <w:szCs w:val="32"/>
        </w:rPr>
      </w:pPr>
      <w:r w:rsidRPr="00BC5F54">
        <w:rPr>
          <w:rFonts w:ascii="Arial" w:eastAsia="Times New Roman" w:hAnsi="Arial" w:cs="Arial"/>
          <w:b/>
          <w:bCs/>
          <w:color w:val="252525"/>
          <w:sz w:val="32"/>
          <w:szCs w:val="32"/>
        </w:rPr>
        <w:t>Step 2 – </w:t>
      </w:r>
      <w:r w:rsidRPr="00BC5F54">
        <w:rPr>
          <w:rFonts w:ascii="Arial" w:eastAsia="Times New Roman" w:hAnsi="Arial" w:cs="Arial"/>
          <w:b/>
          <w:color w:val="252525"/>
          <w:sz w:val="32"/>
          <w:szCs w:val="32"/>
        </w:rPr>
        <w:t>Choose a Financial Attorney-in-Fact</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r w:rsidRPr="00BC5F54">
        <w:rPr>
          <w:rFonts w:ascii="Arial" w:eastAsia="Times New Roman" w:hAnsi="Arial" w:cs="Arial"/>
          <w:color w:val="252525"/>
          <w:sz w:val="27"/>
          <w:szCs w:val="27"/>
        </w:rPr>
        <w:t>Just as one would assume the assistance of a trusted individual for their healthcare, an individual looking to secure their finances will elect a financial agent. This agent will be able to operate within the scope of authority outlined in a durable power of attorney, making all financial transactions for the principal as they would themselves had they the capacity to do so. Like the healthcare agent, the representative should be a trusted individual who will operate with the principal’s best interests in mind.</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hyperlink r:id="rId9" w:history="1">
        <w:r w:rsidRPr="00BC5F54">
          <w:rPr>
            <w:rFonts w:ascii="Arial" w:eastAsia="Times New Roman" w:hAnsi="Arial" w:cs="Arial"/>
            <w:color w:val="008CDD"/>
            <w:sz w:val="27"/>
            <w:szCs w:val="27"/>
          </w:rPr>
          <w:t>Durable (Financial) Power of Attorney</w:t>
        </w:r>
      </w:hyperlink>
      <w:r w:rsidRPr="00BC5F54">
        <w:rPr>
          <w:rFonts w:ascii="Arial" w:eastAsia="Times New Roman" w:hAnsi="Arial" w:cs="Arial"/>
          <w:color w:val="252525"/>
          <w:sz w:val="27"/>
          <w:szCs w:val="27"/>
        </w:rPr>
        <w:t xml:space="preserve"> – This document is used to provide the name of the financial agent and detail the manner in which they can represent the principal in financial transactions. The principal must make it clear what </w:t>
      </w:r>
      <w:r w:rsidRPr="00BC5F54">
        <w:rPr>
          <w:rFonts w:ascii="Arial" w:eastAsia="Times New Roman" w:hAnsi="Arial" w:cs="Arial"/>
          <w:color w:val="252525"/>
          <w:sz w:val="27"/>
          <w:szCs w:val="27"/>
        </w:rPr>
        <w:lastRenderedPageBreak/>
        <w:t>transactions they authorize the agent to carry out as well as the effective date of the legal instrument.</w:t>
      </w:r>
    </w:p>
    <w:p w:rsidR="00BC5F54" w:rsidRPr="00BC5F54" w:rsidRDefault="00BC5F54" w:rsidP="00BC5F54">
      <w:pPr>
        <w:numPr>
          <w:ilvl w:val="0"/>
          <w:numId w:val="13"/>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b/>
          <w:bCs/>
          <w:color w:val="252525"/>
          <w:sz w:val="27"/>
          <w:szCs w:val="27"/>
        </w:rPr>
        <w:t>Signing Requirements </w:t>
      </w:r>
      <w:r w:rsidRPr="00BC5F54">
        <w:rPr>
          <w:rFonts w:ascii="Arial" w:eastAsia="Times New Roman" w:hAnsi="Arial" w:cs="Arial"/>
          <w:color w:val="252525"/>
          <w:sz w:val="27"/>
          <w:szCs w:val="27"/>
        </w:rPr>
        <w:t>(</w:t>
      </w:r>
      <w:hyperlink r:id="rId10" w:anchor="751.0021" w:tgtFrame="_blank" w:history="1">
        <w:r w:rsidRPr="00BC5F54">
          <w:rPr>
            <w:rFonts w:ascii="Arial" w:eastAsia="Times New Roman" w:hAnsi="Arial" w:cs="Arial"/>
            <w:color w:val="008CDD"/>
            <w:sz w:val="27"/>
            <w:szCs w:val="27"/>
          </w:rPr>
          <w:t>Sec. 751.0021. REQUIREMENTS OF DURABLE POWER OF ATTORNEY</w:t>
        </w:r>
      </w:hyperlink>
      <w:r w:rsidRPr="00BC5F54">
        <w:rPr>
          <w:rFonts w:ascii="Arial" w:eastAsia="Times New Roman" w:hAnsi="Arial" w:cs="Arial"/>
          <w:color w:val="252525"/>
          <w:sz w:val="27"/>
          <w:szCs w:val="27"/>
        </w:rPr>
        <w:t>) – Must be signed by the principal and the signature acknowledged by a State official authorized to take oaths and acknowledgments.</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r w:rsidRPr="00BC5F54">
        <w:rPr>
          <w:rFonts w:ascii="Arial" w:eastAsia="Times New Roman" w:hAnsi="Arial" w:cs="Arial"/>
          <w:b/>
          <w:bCs/>
          <w:color w:val="252525"/>
          <w:sz w:val="27"/>
          <w:szCs w:val="27"/>
        </w:rPr>
        <w:t>Financial Powers Allowed:</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Real property transactions;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Tangible personal property transactions;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Stock and bond transactions;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Commodity and option transactions;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Banking and other financial institution transactions;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Business operating transactions;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Insurance and annuity transactions;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Estate, trust, and other beneficiary transactions;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Claims and litigation;</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Personal and family maintenance;</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Benefits from social security, Medicare, Medicaid, or other governmental programs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or civil or military service;</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Retirement plan transactions;</w:t>
      </w:r>
    </w:p>
    <w:p w:rsidR="00BC5F54" w:rsidRPr="00BC5F54" w:rsidRDefault="00BC5F54" w:rsidP="00BC5F54">
      <w:pPr>
        <w:numPr>
          <w:ilvl w:val="0"/>
          <w:numId w:val="14"/>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color w:val="252525"/>
          <w:sz w:val="27"/>
          <w:szCs w:val="27"/>
        </w:rPr>
        <w:t>Tax matters</w:t>
      </w:r>
    </w:p>
    <w:p w:rsidR="00BC5F54" w:rsidRPr="00BC5F54" w:rsidRDefault="00BC5F54" w:rsidP="00BC5F54">
      <w:pPr>
        <w:shd w:val="clear" w:color="auto" w:fill="FFFFFF"/>
        <w:spacing w:beforeLines="100" w:before="240" w:afterLines="100" w:after="240"/>
        <w:outlineLvl w:val="2"/>
        <w:rPr>
          <w:rFonts w:ascii="Arial" w:eastAsia="Times New Roman" w:hAnsi="Arial" w:cs="Arial"/>
          <w:color w:val="252525"/>
          <w:sz w:val="32"/>
          <w:szCs w:val="32"/>
        </w:rPr>
      </w:pPr>
      <w:r w:rsidRPr="00BC5F54">
        <w:rPr>
          <w:rFonts w:ascii="Arial" w:eastAsia="Times New Roman" w:hAnsi="Arial" w:cs="Arial"/>
          <w:b/>
          <w:bCs/>
          <w:color w:val="252525"/>
          <w:sz w:val="32"/>
          <w:szCs w:val="32"/>
        </w:rPr>
        <w:t>Step 3 – Prepare Current Assets List</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r w:rsidRPr="00BC5F54">
        <w:rPr>
          <w:rFonts w:ascii="Arial" w:eastAsia="Times New Roman" w:hAnsi="Arial" w:cs="Arial"/>
          <w:color w:val="252525"/>
          <w:sz w:val="27"/>
          <w:szCs w:val="27"/>
        </w:rPr>
        <w:t xml:space="preserve">In preparation for the division of one’s estate, it is wise to comprise a list of personal property and assets, as well as stakes in business entities and bank accounts. This preliminary bit of organization can be helpful to the owner in delineating the distribution of the estate to beneficiaries, and useful to any </w:t>
      </w:r>
      <w:r w:rsidRPr="00BC5F54">
        <w:rPr>
          <w:rFonts w:ascii="Arial" w:eastAsia="Times New Roman" w:hAnsi="Arial" w:cs="Arial"/>
          <w:color w:val="252525"/>
          <w:sz w:val="27"/>
          <w:szCs w:val="27"/>
        </w:rPr>
        <w:lastRenderedPageBreak/>
        <w:t>financial agents or individuals working alongside the owner to ensure that all items have been accounted for when it comes time to transfer ownership. A </w:t>
      </w:r>
      <w:hyperlink r:id="rId11" w:history="1">
        <w:r w:rsidRPr="00BC5F54">
          <w:rPr>
            <w:rFonts w:ascii="Arial" w:eastAsia="Times New Roman" w:hAnsi="Arial" w:cs="Arial"/>
            <w:color w:val="008CDD"/>
            <w:sz w:val="27"/>
            <w:szCs w:val="27"/>
          </w:rPr>
          <w:t>Current Assets List</w:t>
        </w:r>
      </w:hyperlink>
      <w:r w:rsidRPr="00BC5F54">
        <w:rPr>
          <w:rFonts w:ascii="Arial" w:eastAsia="Times New Roman" w:hAnsi="Arial" w:cs="Arial"/>
          <w:color w:val="252525"/>
          <w:sz w:val="27"/>
          <w:szCs w:val="27"/>
        </w:rPr>
        <w:t> template can be useful in getting the ball rolling.</w:t>
      </w:r>
    </w:p>
    <w:p w:rsidR="00BC5F54" w:rsidRPr="00BC5F54" w:rsidRDefault="00BC5F54" w:rsidP="00BC5F54">
      <w:pPr>
        <w:shd w:val="clear" w:color="auto" w:fill="FFFFFF"/>
        <w:spacing w:beforeLines="100" w:before="240" w:afterLines="100" w:after="240"/>
        <w:outlineLvl w:val="2"/>
        <w:rPr>
          <w:rFonts w:ascii="Arial" w:eastAsia="Times New Roman" w:hAnsi="Arial" w:cs="Arial"/>
          <w:color w:val="252525"/>
          <w:sz w:val="32"/>
          <w:szCs w:val="32"/>
        </w:rPr>
      </w:pPr>
      <w:r w:rsidRPr="00BC5F54">
        <w:rPr>
          <w:rFonts w:ascii="Arial" w:eastAsia="Times New Roman" w:hAnsi="Arial" w:cs="Arial"/>
          <w:b/>
          <w:bCs/>
          <w:color w:val="252525"/>
          <w:sz w:val="32"/>
          <w:szCs w:val="32"/>
        </w:rPr>
        <w:t>Step 4 – Identify Beneficiaries</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r w:rsidRPr="00BC5F54">
        <w:rPr>
          <w:rFonts w:ascii="Arial" w:eastAsia="Times New Roman" w:hAnsi="Arial" w:cs="Arial"/>
          <w:color w:val="252525"/>
          <w:sz w:val="27"/>
          <w:szCs w:val="27"/>
        </w:rPr>
        <w:t>The individuals named in an estate planning instrument who are pre-determined to receive a portion of the principal’s estate are called the beneficiaries. These are often immediate family members but can also be close friends and business associates. When planning for one’s death, it is wise to establish, while of sound mind, who will receive what percentage of the estate. These individuals should then be contacted and notified of their future inheritance.</w:t>
      </w:r>
    </w:p>
    <w:p w:rsidR="00BC5F54" w:rsidRPr="00BC5F54" w:rsidRDefault="00BC5F54" w:rsidP="00BC5F54">
      <w:pPr>
        <w:shd w:val="clear" w:color="auto" w:fill="FFFFFF"/>
        <w:spacing w:beforeLines="100" w:before="240" w:afterLines="100" w:after="240"/>
        <w:outlineLvl w:val="2"/>
        <w:rPr>
          <w:rFonts w:ascii="Arial" w:eastAsia="Times New Roman" w:hAnsi="Arial" w:cs="Arial"/>
          <w:color w:val="252525"/>
          <w:sz w:val="32"/>
          <w:szCs w:val="32"/>
        </w:rPr>
      </w:pPr>
      <w:r w:rsidRPr="00BC5F54">
        <w:rPr>
          <w:rFonts w:ascii="Arial" w:eastAsia="Times New Roman" w:hAnsi="Arial" w:cs="Arial"/>
          <w:b/>
          <w:bCs/>
          <w:color w:val="252525"/>
          <w:sz w:val="32"/>
          <w:szCs w:val="32"/>
        </w:rPr>
        <w:t>Step 5 – Draft a Living Trust/Last Will and Testament</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r w:rsidRPr="00BC5F54">
        <w:rPr>
          <w:rFonts w:ascii="Arial" w:eastAsia="Times New Roman" w:hAnsi="Arial" w:cs="Arial"/>
          <w:color w:val="252525"/>
          <w:sz w:val="27"/>
          <w:szCs w:val="27"/>
        </w:rPr>
        <w:t>There are two (2) principal legal instruments used to communicate the deceased’s wishes for estate administration; a Last Will and Testament, and a Living Trust. It is not uncommon to use both or either of these documents as they are both functional tools in delivering assets and property to beneficiaries.</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hyperlink r:id="rId12" w:history="1">
        <w:r w:rsidRPr="00BC5F54">
          <w:rPr>
            <w:rFonts w:ascii="Arial" w:eastAsia="Times New Roman" w:hAnsi="Arial" w:cs="Arial"/>
            <w:color w:val="008CDD"/>
            <w:sz w:val="27"/>
            <w:szCs w:val="27"/>
          </w:rPr>
          <w:t>Last Will and Testament (‘Will’)</w:t>
        </w:r>
      </w:hyperlink>
      <w:r w:rsidRPr="00BC5F54">
        <w:rPr>
          <w:rFonts w:ascii="Arial" w:eastAsia="Times New Roman" w:hAnsi="Arial" w:cs="Arial"/>
          <w:color w:val="252525"/>
          <w:sz w:val="27"/>
          <w:szCs w:val="27"/>
        </w:rPr>
        <w:t> – A Last Will and Testament is a document specifically designed to provide instructions on how an individual would like their estate to be handled following their death. For this reason, it is considered the most important component of any estate plan. Even if a Living Trust is employed to divide the majority of the estate, it is wise to include a Pour-Over Will to account for anything the testator may have forgotten. A Last Will and Testament must pass through probate before beneficiaries will receive their estate percentage.</w:t>
      </w:r>
    </w:p>
    <w:p w:rsidR="00BC5F54" w:rsidRPr="00BC5F54" w:rsidRDefault="00BC5F54" w:rsidP="00BC5F54">
      <w:pPr>
        <w:numPr>
          <w:ilvl w:val="0"/>
          <w:numId w:val="15"/>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b/>
          <w:bCs/>
          <w:color w:val="252525"/>
          <w:sz w:val="27"/>
          <w:szCs w:val="27"/>
        </w:rPr>
        <w:t>Signing Requirements </w:t>
      </w:r>
      <w:r w:rsidRPr="00BC5F54">
        <w:rPr>
          <w:rFonts w:ascii="Arial" w:eastAsia="Times New Roman" w:hAnsi="Arial" w:cs="Arial"/>
          <w:color w:val="252525"/>
          <w:sz w:val="27"/>
          <w:szCs w:val="27"/>
        </w:rPr>
        <w:t>(</w:t>
      </w:r>
      <w:hyperlink r:id="rId13" w:tgtFrame="_blank" w:history="1">
        <w:r w:rsidRPr="00BC5F54">
          <w:rPr>
            <w:rFonts w:ascii="Arial" w:eastAsia="Times New Roman" w:hAnsi="Arial" w:cs="Arial"/>
            <w:color w:val="008CDD"/>
            <w:sz w:val="27"/>
            <w:szCs w:val="27"/>
          </w:rPr>
          <w:t>Sec. 251.051. WRITTEN, SIGNED, AND ATTESTED</w:t>
        </w:r>
      </w:hyperlink>
      <w:r w:rsidRPr="00BC5F54">
        <w:rPr>
          <w:rFonts w:ascii="Arial" w:eastAsia="Times New Roman" w:hAnsi="Arial" w:cs="Arial"/>
          <w:color w:val="252525"/>
          <w:sz w:val="27"/>
          <w:szCs w:val="27"/>
        </w:rPr>
        <w:t>) – A Will must be signed by the Testator and two (2) witnesses of at least fourteen (14) years of age.</w:t>
      </w:r>
    </w:p>
    <w:p w:rsidR="00BC5F54" w:rsidRPr="00BC5F54" w:rsidRDefault="00BC5F54" w:rsidP="00FE6C79">
      <w:pPr>
        <w:shd w:val="clear" w:color="auto" w:fill="FFFFFF"/>
        <w:suppressAutoHyphens/>
        <w:autoSpaceDN w:val="0"/>
        <w:spacing w:before="100" w:after="100"/>
        <w:ind w:left="714" w:hanging="357"/>
        <w:textAlignment w:val="baseline"/>
        <w:rPr>
          <w:rFonts w:ascii="Arial" w:eastAsia="Times New Roman" w:hAnsi="Arial" w:cs="Arial"/>
          <w:color w:val="252525"/>
          <w:sz w:val="27"/>
          <w:szCs w:val="27"/>
        </w:rPr>
      </w:pPr>
      <w:hyperlink r:id="rId14" w:history="1">
        <w:r w:rsidRPr="00BC5F54">
          <w:rPr>
            <w:rFonts w:ascii="Arial" w:eastAsia="Times New Roman" w:hAnsi="Arial" w:cs="Arial"/>
            <w:color w:val="008CDD"/>
            <w:sz w:val="27"/>
            <w:szCs w:val="27"/>
          </w:rPr>
          <w:t>Living Trust (Revocable)</w:t>
        </w:r>
      </w:hyperlink>
      <w:r w:rsidRPr="00BC5F54">
        <w:rPr>
          <w:rFonts w:ascii="Arial" w:eastAsia="Times New Roman" w:hAnsi="Arial" w:cs="Arial"/>
          <w:color w:val="252525"/>
          <w:sz w:val="27"/>
          <w:szCs w:val="27"/>
        </w:rPr>
        <w:t xml:space="preserve"> – A Revocable Living Trust is also an estate planning device; however, it differs in certain key aspects from a Will. The primary benefit is that the document will not have to pass through a lengthy probate process before the assets can be transferred to the name beneficiaries. Instead, an individual with the title of successor trustee (named within the document) will be responsible for administering the grantor’s (creator of trust) estate following their death. </w:t>
      </w:r>
      <w:r w:rsidRPr="00BC5F54">
        <w:rPr>
          <w:rFonts w:ascii="Arial" w:eastAsia="Times New Roman" w:hAnsi="Arial" w:cs="Arial"/>
          <w:color w:val="252525"/>
          <w:sz w:val="27"/>
          <w:szCs w:val="27"/>
        </w:rPr>
        <w:lastRenderedPageBreak/>
        <w:t>Another considerable difference is the fact that a Trust becomes effective immediately after the document has been signed, enabling the grantor to transfer ownership of their assets into the Trust while continuing to benefit from them during their lifetime.</w:t>
      </w:r>
    </w:p>
    <w:p w:rsidR="00BC5F54" w:rsidRPr="00BC5F54" w:rsidRDefault="00BC5F54" w:rsidP="00BC5F54">
      <w:pPr>
        <w:numPr>
          <w:ilvl w:val="0"/>
          <w:numId w:val="16"/>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b/>
          <w:bCs/>
          <w:color w:val="252525"/>
          <w:sz w:val="27"/>
          <w:szCs w:val="27"/>
        </w:rPr>
        <w:t>Signing Requirements </w:t>
      </w:r>
      <w:r w:rsidRPr="00BC5F54">
        <w:rPr>
          <w:rFonts w:ascii="Arial" w:eastAsia="Times New Roman" w:hAnsi="Arial" w:cs="Arial"/>
          <w:color w:val="252525"/>
          <w:sz w:val="27"/>
          <w:szCs w:val="27"/>
        </w:rPr>
        <w:t>– No statutorily enforced signing requirements for signing a Trust document.</w:t>
      </w:r>
    </w:p>
    <w:p w:rsidR="00BC5F54" w:rsidRPr="00BC5F54" w:rsidRDefault="00BC5F54" w:rsidP="00BC5F54">
      <w:pPr>
        <w:shd w:val="clear" w:color="auto" w:fill="FFFFFF"/>
        <w:spacing w:beforeLines="100" w:before="240" w:afterLines="100" w:after="240"/>
        <w:outlineLvl w:val="2"/>
        <w:rPr>
          <w:rFonts w:ascii="Arial" w:eastAsia="Times New Roman" w:hAnsi="Arial" w:cs="Arial"/>
          <w:color w:val="252525"/>
          <w:sz w:val="32"/>
          <w:szCs w:val="32"/>
        </w:rPr>
      </w:pPr>
      <w:r w:rsidRPr="00BC5F54">
        <w:rPr>
          <w:rFonts w:ascii="Arial" w:eastAsia="Times New Roman" w:hAnsi="Arial" w:cs="Arial"/>
          <w:b/>
          <w:bCs/>
          <w:color w:val="252525"/>
          <w:sz w:val="32"/>
          <w:szCs w:val="32"/>
        </w:rPr>
        <w:t>Step 6 – Storing the Documents</w:t>
      </w:r>
    </w:p>
    <w:p w:rsidR="00BC5F54" w:rsidRPr="00BC5F54" w:rsidRDefault="00BC5F54" w:rsidP="00BC5F54">
      <w:pPr>
        <w:shd w:val="clear" w:color="auto" w:fill="FFFFFF"/>
        <w:spacing w:beforeLines="100" w:before="240" w:afterLines="100" w:after="240"/>
        <w:rPr>
          <w:rFonts w:ascii="Arial" w:eastAsia="Times New Roman" w:hAnsi="Arial" w:cs="Arial"/>
          <w:color w:val="252525"/>
          <w:sz w:val="27"/>
          <w:szCs w:val="27"/>
        </w:rPr>
      </w:pPr>
      <w:r w:rsidRPr="00BC5F54">
        <w:rPr>
          <w:rFonts w:ascii="Arial" w:eastAsia="Times New Roman" w:hAnsi="Arial" w:cs="Arial"/>
          <w:color w:val="252525"/>
          <w:sz w:val="27"/>
          <w:szCs w:val="27"/>
        </w:rPr>
        <w:t>Legal documents of such importance should be kept in a safe location until they are needed. What is generally recommended is that all estate planning instruments be stored in a waterproof and fireproof safe in the principal’s home or office. Copies of the original can also be made and delivered to beneficiaries and agents upon completion.</w:t>
      </w:r>
    </w:p>
    <w:p w:rsidR="00BC5F54" w:rsidRPr="00BC5F54" w:rsidRDefault="00BC5F54" w:rsidP="00BC5F54">
      <w:pPr>
        <w:shd w:val="clear" w:color="auto" w:fill="FFFFFF"/>
        <w:spacing w:beforeLines="100" w:before="240" w:afterLines="100" w:after="240"/>
        <w:outlineLvl w:val="0"/>
        <w:rPr>
          <w:rFonts w:ascii="Arial" w:eastAsia="Times New Roman" w:hAnsi="Arial" w:cs="Arial"/>
          <w:b/>
          <w:color w:val="252525"/>
          <w:kern w:val="36"/>
          <w:sz w:val="36"/>
          <w:szCs w:val="36"/>
        </w:rPr>
      </w:pPr>
      <w:r w:rsidRPr="00BC5F54">
        <w:rPr>
          <w:rFonts w:ascii="Arial" w:eastAsia="Times New Roman" w:hAnsi="Arial" w:cs="Arial"/>
          <w:b/>
          <w:color w:val="252525"/>
          <w:kern w:val="36"/>
          <w:sz w:val="36"/>
          <w:szCs w:val="36"/>
        </w:rPr>
        <w:t>Texas Estate Planning Laws</w:t>
      </w:r>
    </w:p>
    <w:p w:rsidR="00BC5F54" w:rsidRPr="00BC5F54" w:rsidRDefault="00BC5F54" w:rsidP="00BC5F54">
      <w:pPr>
        <w:numPr>
          <w:ilvl w:val="0"/>
          <w:numId w:val="17"/>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b/>
          <w:bCs/>
          <w:color w:val="252525"/>
          <w:sz w:val="27"/>
          <w:szCs w:val="27"/>
        </w:rPr>
        <w:t>Advance Directive</w:t>
      </w:r>
      <w:r w:rsidRPr="00BC5F54">
        <w:rPr>
          <w:rFonts w:ascii="Arial" w:eastAsia="Times New Roman" w:hAnsi="Arial" w:cs="Arial"/>
          <w:color w:val="252525"/>
          <w:sz w:val="27"/>
          <w:szCs w:val="27"/>
        </w:rPr>
        <w:t> – </w:t>
      </w:r>
      <w:hyperlink r:id="rId15" w:anchor="166.031" w:tgtFrame="_blank" w:history="1">
        <w:r w:rsidRPr="00BC5F54">
          <w:rPr>
            <w:rFonts w:ascii="Arial" w:eastAsia="Times New Roman" w:hAnsi="Arial" w:cs="Arial"/>
            <w:color w:val="008CDD"/>
            <w:sz w:val="27"/>
            <w:szCs w:val="27"/>
          </w:rPr>
          <w:t>ADVANCE DIRECTIVE ACT</w:t>
        </w:r>
      </w:hyperlink>
    </w:p>
    <w:p w:rsidR="00BC5F54" w:rsidRPr="00BC5F54" w:rsidRDefault="00BC5F54" w:rsidP="00BC5F54">
      <w:pPr>
        <w:numPr>
          <w:ilvl w:val="0"/>
          <w:numId w:val="17"/>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b/>
          <w:bCs/>
          <w:color w:val="252525"/>
          <w:sz w:val="27"/>
          <w:szCs w:val="27"/>
        </w:rPr>
        <w:t>Durable Power of Attorney</w:t>
      </w:r>
      <w:r w:rsidRPr="00BC5F54">
        <w:rPr>
          <w:rFonts w:ascii="Arial" w:eastAsia="Times New Roman" w:hAnsi="Arial" w:cs="Arial"/>
          <w:color w:val="252525"/>
          <w:sz w:val="27"/>
          <w:szCs w:val="27"/>
        </w:rPr>
        <w:t> – </w:t>
      </w:r>
      <w:hyperlink r:id="rId16" w:anchor="751.0021" w:tgtFrame="_blank" w:history="1">
        <w:r w:rsidRPr="00BC5F54">
          <w:rPr>
            <w:rFonts w:ascii="Arial" w:eastAsia="Times New Roman" w:hAnsi="Arial" w:cs="Arial"/>
            <w:color w:val="008CDD"/>
            <w:sz w:val="27"/>
            <w:szCs w:val="27"/>
          </w:rPr>
          <w:t>Title 2, Sec. 751. GENERAL PROVISIONS REGARDING DURABLE POWERS OF ATTORNEY</w:t>
        </w:r>
      </w:hyperlink>
    </w:p>
    <w:p w:rsidR="00BC5F54" w:rsidRPr="00BC5F54" w:rsidRDefault="00BC5F54" w:rsidP="00BC5F54">
      <w:pPr>
        <w:numPr>
          <w:ilvl w:val="0"/>
          <w:numId w:val="17"/>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b/>
          <w:bCs/>
          <w:color w:val="252525"/>
          <w:sz w:val="27"/>
          <w:szCs w:val="27"/>
        </w:rPr>
        <w:t>Last Will and Testament</w:t>
      </w:r>
      <w:r w:rsidRPr="00BC5F54">
        <w:rPr>
          <w:rFonts w:ascii="Arial" w:eastAsia="Times New Roman" w:hAnsi="Arial" w:cs="Arial"/>
          <w:color w:val="252525"/>
          <w:sz w:val="27"/>
          <w:szCs w:val="27"/>
        </w:rPr>
        <w:t> – </w:t>
      </w:r>
      <w:hyperlink r:id="rId17" w:tgtFrame="_blank" w:history="1">
        <w:r w:rsidRPr="00BC5F54">
          <w:rPr>
            <w:rFonts w:ascii="Arial" w:eastAsia="Times New Roman" w:hAnsi="Arial" w:cs="Arial"/>
            <w:color w:val="008CDD"/>
            <w:sz w:val="27"/>
            <w:szCs w:val="27"/>
          </w:rPr>
          <w:t>Title 2, Sec. 251 FUNDAMENTAL REQUIREMENTS AND PROVISIONS RELATING TO WILLS</w:t>
        </w:r>
      </w:hyperlink>
    </w:p>
    <w:p w:rsidR="00BC5F54" w:rsidRPr="00BC5F54" w:rsidRDefault="00BC5F54" w:rsidP="00BC5F54">
      <w:pPr>
        <w:numPr>
          <w:ilvl w:val="0"/>
          <w:numId w:val="17"/>
        </w:numPr>
        <w:shd w:val="clear" w:color="auto" w:fill="FFFFFF"/>
        <w:spacing w:beforeLines="100" w:before="240" w:afterLines="100" w:after="240"/>
        <w:ind w:left="375"/>
        <w:rPr>
          <w:rFonts w:ascii="Arial" w:eastAsia="Times New Roman" w:hAnsi="Arial" w:cs="Arial"/>
          <w:color w:val="252525"/>
          <w:sz w:val="27"/>
          <w:szCs w:val="27"/>
        </w:rPr>
      </w:pPr>
      <w:r w:rsidRPr="00BC5F54">
        <w:rPr>
          <w:rFonts w:ascii="Arial" w:eastAsia="Times New Roman" w:hAnsi="Arial" w:cs="Arial"/>
          <w:b/>
          <w:bCs/>
          <w:color w:val="252525"/>
          <w:sz w:val="27"/>
          <w:szCs w:val="27"/>
        </w:rPr>
        <w:t>Living Trust (Revocable)</w:t>
      </w:r>
      <w:r w:rsidRPr="00BC5F54">
        <w:rPr>
          <w:rFonts w:ascii="Arial" w:eastAsia="Times New Roman" w:hAnsi="Arial" w:cs="Arial"/>
          <w:color w:val="252525"/>
          <w:sz w:val="27"/>
          <w:szCs w:val="27"/>
        </w:rPr>
        <w:t> – </w:t>
      </w:r>
      <w:hyperlink r:id="rId18" w:tgtFrame="_blank" w:history="1">
        <w:r w:rsidRPr="00BC5F54">
          <w:rPr>
            <w:rFonts w:ascii="Arial" w:eastAsia="Times New Roman" w:hAnsi="Arial" w:cs="Arial"/>
            <w:color w:val="008CDD"/>
            <w:sz w:val="27"/>
            <w:szCs w:val="27"/>
          </w:rPr>
          <w:t>Title 9, Sec. 751 CREATION, VALIDITY, MODIFICATION, AND TERMINATION OF TRUSTS</w:t>
        </w:r>
      </w:hyperlink>
    </w:p>
    <w:p w:rsidR="009926B1" w:rsidRPr="00BC5F54" w:rsidRDefault="009926B1" w:rsidP="00BC5F54">
      <w:pPr>
        <w:spacing w:beforeLines="100" w:before="240" w:afterLines="100" w:after="240"/>
        <w:rPr>
          <w:sz w:val="27"/>
          <w:szCs w:val="27"/>
        </w:rPr>
      </w:pPr>
    </w:p>
    <w:sectPr w:rsidR="009926B1" w:rsidRPr="00BC5F54" w:rsidSect="00036D89">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8B4" w:rsidRDefault="003E18B4" w:rsidP="00B06C43">
      <w:r>
        <w:separator/>
      </w:r>
    </w:p>
  </w:endnote>
  <w:endnote w:type="continuationSeparator" w:id="0">
    <w:p w:rsidR="003E18B4" w:rsidRDefault="003E18B4"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C43" w:rsidRDefault="00B06C43" w:rsidP="00B06C43">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1CDFC3E1" wp14:editId="4F6A4FC7">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1CDFC3E1"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" filled="f" stroked="f">
              <v:textbox style="mso-fit-shape-to-text:t" inset="0,0,0,0">
                <w:txbxContent>
                  <w:p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3C83523F" wp14:editId="14F7034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8B4" w:rsidRDefault="003E18B4" w:rsidP="00B06C43">
      <w:r>
        <w:separator/>
      </w:r>
    </w:p>
  </w:footnote>
  <w:footnote w:type="continuationSeparator" w:id="0">
    <w:p w:rsidR="003E18B4" w:rsidRDefault="003E18B4" w:rsidP="00B0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35EF3"/>
    <w:multiLevelType w:val="multilevel"/>
    <w:tmpl w:val="B0F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B2400"/>
    <w:multiLevelType w:val="multilevel"/>
    <w:tmpl w:val="9A50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76B3C"/>
    <w:multiLevelType w:val="multilevel"/>
    <w:tmpl w:val="586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B6D88"/>
    <w:multiLevelType w:val="multilevel"/>
    <w:tmpl w:val="B31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C48E6"/>
    <w:multiLevelType w:val="multilevel"/>
    <w:tmpl w:val="A30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DB3210"/>
    <w:multiLevelType w:val="multilevel"/>
    <w:tmpl w:val="960A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0"/>
  </w:num>
  <w:num w:numId="4">
    <w:abstractNumId w:val="14"/>
  </w:num>
  <w:num w:numId="5">
    <w:abstractNumId w:val="13"/>
  </w:num>
  <w:num w:numId="6">
    <w:abstractNumId w:val="3"/>
  </w:num>
  <w:num w:numId="7">
    <w:abstractNumId w:val="11"/>
  </w:num>
  <w:num w:numId="8">
    <w:abstractNumId w:val="2"/>
  </w:num>
  <w:num w:numId="9">
    <w:abstractNumId w:val="15"/>
  </w:num>
  <w:num w:numId="10">
    <w:abstractNumId w:val="10"/>
  </w:num>
  <w:num w:numId="11">
    <w:abstractNumId w:val="7"/>
  </w:num>
  <w:num w:numId="12">
    <w:abstractNumId w:val="9"/>
  </w:num>
  <w:num w:numId="13">
    <w:abstractNumId w:val="1"/>
  </w:num>
  <w:num w:numId="14">
    <w:abstractNumId w:val="12"/>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36D89"/>
    <w:rsid w:val="00123F7B"/>
    <w:rsid w:val="002F73F0"/>
    <w:rsid w:val="003E18B4"/>
    <w:rsid w:val="005904F4"/>
    <w:rsid w:val="009926B1"/>
    <w:rsid w:val="00B06C43"/>
    <w:rsid w:val="00B804E7"/>
    <w:rsid w:val="00BC5F54"/>
    <w:rsid w:val="00CA23AE"/>
    <w:rsid w:val="00D1364D"/>
    <w:rsid w:val="00DA74B2"/>
    <w:rsid w:val="00FE6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5566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HS/htm/HS.166.htm" TargetMode="External"/><Relationship Id="rId13" Type="http://schemas.openxmlformats.org/officeDocument/2006/relationships/hyperlink" Target="https://statutes.capitol.texas.gov/Docs/ES/htm/ES.251.htm" TargetMode="External"/><Relationship Id="rId18" Type="http://schemas.openxmlformats.org/officeDocument/2006/relationships/hyperlink" Target="https://statutes.capitol.texas.gov/Docs/PR/htm/PR.112.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forms.com/power-of-attorney/tx/texas-medical-power-of-attorney/" TargetMode="External"/><Relationship Id="rId12" Type="http://schemas.openxmlformats.org/officeDocument/2006/relationships/hyperlink" Target="https://eforms.com/wills/texas-last-will-and-testament-template/" TargetMode="External"/><Relationship Id="rId17" Type="http://schemas.openxmlformats.org/officeDocument/2006/relationships/hyperlink" Target="https://statutes.capitol.texas.gov/Docs/ES/htm/ES.251.htm" TargetMode="External"/><Relationship Id="rId2" Type="http://schemas.openxmlformats.org/officeDocument/2006/relationships/styles" Target="styles.xml"/><Relationship Id="rId16" Type="http://schemas.openxmlformats.org/officeDocument/2006/relationships/hyperlink" Target="https://statutes.capitol.texas.gov/Docs/ES/htm/ES.751.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estate-planning/current-assets-list/" TargetMode="External"/><Relationship Id="rId5" Type="http://schemas.openxmlformats.org/officeDocument/2006/relationships/footnotes" Target="footnotes.xml"/><Relationship Id="rId15" Type="http://schemas.openxmlformats.org/officeDocument/2006/relationships/hyperlink" Target="https://statutes.capitol.texas.gov/Docs/HS/htm/HS.166.htm" TargetMode="External"/><Relationship Id="rId10" Type="http://schemas.openxmlformats.org/officeDocument/2006/relationships/hyperlink" Target="https://statutes.capitol.texas.gov/Docs/ES/htm/ES.75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forms.com/power-of-attorney/tx/texas-durable-power-of-attorney/" TargetMode="External"/><Relationship Id="rId14" Type="http://schemas.openxmlformats.org/officeDocument/2006/relationships/hyperlink" Target="https://eforms.com/living-trust/tx/texas-revocable-living-trust-f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5797</Characters>
  <Application>Microsoft Office Word</Application>
  <DocSecurity>0</DocSecurity>
  <Lines>115</Lines>
  <Paragraphs>42</Paragraphs>
  <ScaleCrop>false</ScaleCrop>
  <HeadingPairs>
    <vt:vector size="2" baseType="variant">
      <vt:variant>
        <vt:lpstr>Title</vt:lpstr>
      </vt:variant>
      <vt:variant>
        <vt:i4>1</vt:i4>
      </vt:variant>
    </vt:vector>
  </HeadingPairs>
  <TitlesOfParts>
    <vt:vector size="1" baseType="lpstr">
      <vt:lpstr>Tennessee Estate Planning Checklist</vt:lpstr>
    </vt:vector>
  </TitlesOfParts>
  <Manager/>
  <Company/>
  <LinksUpToDate>false</LinksUpToDate>
  <CharactersWithSpaces>6859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Estate Planning Checklist</dc:title>
  <dc:subject/>
  <dc:creator>eForms</dc:creator>
  <cp:keywords/>
  <dc:description/>
  <cp:lastModifiedBy>Clayton Upex</cp:lastModifiedBy>
  <cp:revision>2</cp:revision>
  <dcterms:created xsi:type="dcterms:W3CDTF">2019-01-26T21:55:00Z</dcterms:created>
  <dcterms:modified xsi:type="dcterms:W3CDTF">2019-01-26T21:55:00Z</dcterms:modified>
  <cp:category/>
</cp:coreProperties>
</file>