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5BCBA962" w:rsidR="00761732" w:rsidRPr="003F5B64" w:rsidRDefault="00124875"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NORTH DAKOTA </w:t>
      </w:r>
      <w:r w:rsidR="008A4483" w:rsidRPr="003F5B64">
        <w:rPr>
          <w:rFonts w:ascii="Arial" w:eastAsia="Times New Roman" w:hAnsi="Arial" w:cs="Arial"/>
          <w:b/>
          <w:bCs/>
          <w:color w:val="000000"/>
          <w:kern w:val="36"/>
          <w:sz w:val="36"/>
          <w:szCs w:val="36"/>
        </w:rPr>
        <w:t xml:space="preserve">RESIDENTIAL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1E5374D1" w14:textId="717D0183" w:rsidR="00E154D6" w:rsidRPr="003F5B64" w:rsidRDefault="00E154D6" w:rsidP="00E154D6">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 (check one)</w:t>
      </w:r>
    </w:p>
    <w:p w14:paraId="02B541C2" w14:textId="77777777" w:rsidR="00E154D6" w:rsidRPr="003F5B64" w:rsidRDefault="00E154D6" w:rsidP="00E154D6">
      <w:pPr>
        <w:rPr>
          <w:rFonts w:ascii="Arial" w:hAnsi="Arial" w:cs="Arial"/>
          <w:color w:val="000000"/>
        </w:rPr>
      </w:pPr>
    </w:p>
    <w:p w14:paraId="7EA85C0E" w14:textId="4F091811" w:rsidR="00E154D6" w:rsidRPr="003F5B64" w:rsidRDefault="000D59BC" w:rsidP="00BC2ABF">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Fixed Lease.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00E154D6"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00E154D6"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0D59BC"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0D59BC"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78071112" w14:textId="77777777" w:rsidR="009439FD" w:rsidRPr="003F5B64" w:rsidRDefault="009439FD" w:rsidP="00BC2ABF">
      <w:pPr>
        <w:ind w:left="1440"/>
        <w:rPr>
          <w:rFonts w:ascii="Arial" w:hAnsi="Arial" w:cs="Arial"/>
        </w:rPr>
      </w:pPr>
    </w:p>
    <w:p w14:paraId="234EBA72" w14:textId="23DCFA5A" w:rsidR="00E154D6" w:rsidRPr="003F5B64" w:rsidRDefault="000D59BC" w:rsidP="00BC2ABF">
      <w:pPr>
        <w:ind w:left="72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E154D6" w:rsidRPr="003F5B64">
        <w:rPr>
          <w:rFonts w:ascii="Arial" w:hAnsi="Arial" w:cs="Arial"/>
          <w:color w:val="000000"/>
        </w:rPr>
        <w:t xml:space="preserve">Month-to-Month Lease.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6"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6"/>
      <w:r w:rsidR="00E154D6"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7"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7"/>
      <w:r w:rsidR="00F16D34">
        <w:rPr>
          <w:rFonts w:ascii="Arial" w:hAnsi="Arial" w:cs="Arial"/>
          <w:color w:val="000000"/>
        </w:rPr>
        <w:t xml:space="preserve"> </w:t>
      </w:r>
      <w:r w:rsidR="00E154D6" w:rsidRPr="003F5B64">
        <w:rPr>
          <w:rFonts w:ascii="Arial" w:hAnsi="Arial" w:cs="Arial"/>
          <w:color w:val="000000"/>
        </w:rPr>
        <w:t>days from either Party to the other Party (“Lease Term”).</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0D59BC"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8"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8"/>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0D59BC"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9"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9"/>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10"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10"/>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11"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11"/>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2"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2"/>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0D59BC"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0D59BC"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3"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3"/>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0D59BC"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4"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4"/>
    </w:p>
    <w:p w14:paraId="40B993C5" w14:textId="77777777" w:rsidR="00BC2ABF" w:rsidRPr="003F5B64" w:rsidRDefault="00BC2ABF" w:rsidP="00BC2ABF">
      <w:pPr>
        <w:ind w:left="720"/>
        <w:rPr>
          <w:rFonts w:ascii="Arial" w:hAnsi="Arial" w:cs="Arial"/>
        </w:rPr>
      </w:pPr>
    </w:p>
    <w:p w14:paraId="31B3826A" w14:textId="7E79D4AA" w:rsidR="00F82EA4" w:rsidRPr="003F5B64" w:rsidRDefault="000D59BC"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0D59BC"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5"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5"/>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0D59BC"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6"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6"/>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7"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7"/>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8"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8"/>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0D59BC"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9"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9"/>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0D59BC"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0D59BC"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20"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20"/>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21"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1"/>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0D59BC"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0D59BC"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0D59BC"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0D59BC"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2"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2"/>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3"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4"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4"/>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0D59BC"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0D59BC"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5"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5"/>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6"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6"/>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0D59BC"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0D59BC"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7"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7"/>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8"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8"/>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0D59BC"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25840D8F" w14:textId="77777777" w:rsidR="00124875" w:rsidRDefault="00124875" w:rsidP="00124875">
      <w:pPr>
        <w:rPr>
          <w:rFonts w:ascii="Arial" w:hAnsi="Arial" w:cs="Arial"/>
          <w:color w:val="000000"/>
        </w:rPr>
      </w:pPr>
      <w:r w:rsidRPr="003F5B64">
        <w:rPr>
          <w:rFonts w:ascii="Arial" w:hAnsi="Arial" w:cs="Arial"/>
          <w:b/>
          <w:bCs/>
          <w:color w:val="000000"/>
        </w:rPr>
        <w:t>XV. MOVE-IN INSPECTION</w:t>
      </w:r>
      <w:r w:rsidRPr="003F5B64">
        <w:rPr>
          <w:rFonts w:ascii="Arial" w:hAnsi="Arial" w:cs="Arial"/>
          <w:color w:val="000000"/>
        </w:rPr>
        <w:t>. </w:t>
      </w:r>
      <w:r w:rsidRPr="006D4DC2">
        <w:rPr>
          <w:rFonts w:ascii="Arial" w:hAnsi="Arial" w:cs="Arial"/>
          <w:color w:val="000000"/>
        </w:rPr>
        <w:t>The Landlord shall provide the Tenant with a prope</w:t>
      </w:r>
      <w:r>
        <w:rPr>
          <w:rFonts w:ascii="Arial" w:hAnsi="Arial" w:cs="Arial"/>
          <w:color w:val="000000"/>
        </w:rPr>
        <w:t>r</w:t>
      </w:r>
      <w:r w:rsidRPr="006D4DC2">
        <w:rPr>
          <w:rFonts w:ascii="Arial" w:hAnsi="Arial" w:cs="Arial"/>
          <w:color w:val="000000"/>
        </w:rPr>
        <w:t>ty condition statement ("Statement"), in accordance with State law, describing the condition of the facilities in and about the Premises to be rented at the time of entering into this Agreement. The Statement shall be agreed to and signed by the Landlord and Tenant. The Statement shall constitute prima facie proof of the condition of the facilities and the Premises at the beginning of the Lease Term.</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0D59BC"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9"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9"/>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30"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30"/>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31"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31"/>
    </w:p>
    <w:p w14:paraId="54D52E81" w14:textId="77777777" w:rsidR="00810F53" w:rsidRPr="003F5B64" w:rsidRDefault="00810F53" w:rsidP="00BC2ABF">
      <w:pPr>
        <w:ind w:left="720"/>
        <w:rPr>
          <w:rFonts w:ascii="Arial" w:hAnsi="Arial" w:cs="Arial"/>
        </w:rPr>
      </w:pPr>
    </w:p>
    <w:p w14:paraId="765E7E9E" w14:textId="591C1580" w:rsidR="009439FD" w:rsidRPr="003F5B64" w:rsidRDefault="000D59BC"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0D59BC"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2"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0D59BC"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3"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3"/>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0D59BC"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4"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4"/>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5"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5"/>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0D59BC"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0D59BC"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6"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6"/>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0D59BC"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0D59BC"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7"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8"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8"/>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9"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9"/>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40"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40"/>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0D59BC"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0D59BC"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0D59BC"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41"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41"/>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0D59BC"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0D59BC"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2"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2"/>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0D59BC"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3"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3"/>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4"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4"/>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5"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5"/>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0D59BC"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w:t>
      </w:r>
      <w:r w:rsidR="00761732" w:rsidRPr="003F5B64">
        <w:rPr>
          <w:rFonts w:ascii="Arial" w:hAnsi="Arial" w:cs="Arial"/>
          <w:color w:val="000000"/>
        </w:rPr>
        <w:lastRenderedPageBreak/>
        <w:t xml:space="preserve">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w:t>
      </w:r>
      <w:r w:rsidR="00761732" w:rsidRPr="003F5B64">
        <w:rPr>
          <w:rFonts w:ascii="Arial" w:hAnsi="Arial" w:cs="Arial"/>
          <w:color w:val="000000"/>
        </w:rPr>
        <w:lastRenderedPageBreak/>
        <w:t xml:space="preserve">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w:t>
      </w:r>
      <w:r w:rsidR="00761732" w:rsidRPr="003F5B64">
        <w:rPr>
          <w:rFonts w:ascii="Arial" w:hAnsi="Arial" w:cs="Arial"/>
          <w:color w:val="000000"/>
        </w:rPr>
        <w:lastRenderedPageBreak/>
        <w:t>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0D59BC"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0D59BC"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8DDD870"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sidR="00124875">
        <w:rPr>
          <w:rFonts w:ascii="Arial" w:hAnsi="Arial" w:cs="Arial"/>
          <w:color w:val="000000"/>
        </w:rPr>
        <w:t>North Dakota.</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6"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6"/>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7"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7"/>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8"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8"/>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9"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9"/>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50"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50"/>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51"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51"/>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2"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2"/>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3"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3"/>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0D59BC"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4"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4"/>
    </w:p>
    <w:p w14:paraId="5D574005" w14:textId="6029F711" w:rsidR="00AD46C7" w:rsidRPr="00AD46C7" w:rsidRDefault="000D59BC"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0D59BC"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0D59BC"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0D59BC"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0D59BC"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0D59BC"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A0902" w14:textId="77777777" w:rsidR="000D59BC" w:rsidRDefault="000D59BC" w:rsidP="00D12643">
      <w:r>
        <w:separator/>
      </w:r>
    </w:p>
  </w:endnote>
  <w:endnote w:type="continuationSeparator" w:id="0">
    <w:p w14:paraId="61D4F109" w14:textId="77777777" w:rsidR="000D59BC" w:rsidRDefault="000D59BC"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AF0EA9" w14:textId="77777777" w:rsidR="000D59BC" w:rsidRDefault="000D59BC" w:rsidP="00D12643">
      <w:r>
        <w:separator/>
      </w:r>
    </w:p>
  </w:footnote>
  <w:footnote w:type="continuationSeparator" w:id="0">
    <w:p w14:paraId="51CE3F69" w14:textId="77777777" w:rsidR="000D59BC" w:rsidRDefault="000D59BC"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D59BC"/>
    <w:rsid w:val="000E6269"/>
    <w:rsid w:val="00124875"/>
    <w:rsid w:val="00126D3F"/>
    <w:rsid w:val="00151808"/>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6645E"/>
    <w:rsid w:val="00570E85"/>
    <w:rsid w:val="00585548"/>
    <w:rsid w:val="00587800"/>
    <w:rsid w:val="00591004"/>
    <w:rsid w:val="00592341"/>
    <w:rsid w:val="005B3A86"/>
    <w:rsid w:val="005C1339"/>
    <w:rsid w:val="005D5C07"/>
    <w:rsid w:val="0061139C"/>
    <w:rsid w:val="006445B2"/>
    <w:rsid w:val="00667415"/>
    <w:rsid w:val="006C3519"/>
    <w:rsid w:val="006F3C20"/>
    <w:rsid w:val="006F6097"/>
    <w:rsid w:val="00703F6A"/>
    <w:rsid w:val="00710FF7"/>
    <w:rsid w:val="00761732"/>
    <w:rsid w:val="00790151"/>
    <w:rsid w:val="007A44C9"/>
    <w:rsid w:val="007D7E96"/>
    <w:rsid w:val="007E08E1"/>
    <w:rsid w:val="007E151D"/>
    <w:rsid w:val="00810F53"/>
    <w:rsid w:val="0084547E"/>
    <w:rsid w:val="00867B7E"/>
    <w:rsid w:val="00885E3D"/>
    <w:rsid w:val="008A4483"/>
    <w:rsid w:val="008D4A8D"/>
    <w:rsid w:val="008E17C0"/>
    <w:rsid w:val="00910B1D"/>
    <w:rsid w:val="009113AB"/>
    <w:rsid w:val="009439FD"/>
    <w:rsid w:val="009A256C"/>
    <w:rsid w:val="009A5952"/>
    <w:rsid w:val="009E33DE"/>
    <w:rsid w:val="00A066D0"/>
    <w:rsid w:val="00A24D46"/>
    <w:rsid w:val="00A32331"/>
    <w:rsid w:val="00AC587F"/>
    <w:rsid w:val="00AC6A5D"/>
    <w:rsid w:val="00AD46C7"/>
    <w:rsid w:val="00AD7735"/>
    <w:rsid w:val="00B06CD1"/>
    <w:rsid w:val="00B45A3C"/>
    <w:rsid w:val="00B56296"/>
    <w:rsid w:val="00B71AAD"/>
    <w:rsid w:val="00B7520B"/>
    <w:rsid w:val="00B8549E"/>
    <w:rsid w:val="00B96C6E"/>
    <w:rsid w:val="00BA5670"/>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E62F4"/>
    <w:rsid w:val="00E154D6"/>
    <w:rsid w:val="00E319CD"/>
    <w:rsid w:val="00E9240A"/>
    <w:rsid w:val="00E92607"/>
    <w:rsid w:val="00EA40E5"/>
    <w:rsid w:val="00EC5513"/>
    <w:rsid w:val="00EC6581"/>
    <w:rsid w:val="00EE2566"/>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3707</Words>
  <Characters>19166</Characters>
  <Application>Microsoft Office Word</Application>
  <DocSecurity>0</DocSecurity>
  <Lines>485</Lines>
  <Paragraphs>152</Paragraphs>
  <ScaleCrop>false</ScaleCrop>
  <HeadingPairs>
    <vt:vector size="2" baseType="variant">
      <vt:variant>
        <vt:lpstr>Title</vt:lpstr>
      </vt:variant>
      <vt:variant>
        <vt:i4>1</vt:i4>
      </vt:variant>
    </vt:vector>
  </HeadingPairs>
  <TitlesOfParts>
    <vt:vector size="1" baseType="lpstr">
      <vt:lpstr>North Dakota Residential Lease Agreement</vt:lpstr>
    </vt:vector>
  </TitlesOfParts>
  <Manager/>
  <Company/>
  <LinksUpToDate>false</LinksUpToDate>
  <CharactersWithSpaces>22729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Residential Lease Agreement</dc:title>
  <dc:subject/>
  <dc:creator>eForms</dc:creator>
  <cp:keywords/>
  <dc:description/>
  <cp:lastModifiedBy>Joseph Gendron</cp:lastModifiedBy>
  <cp:revision>2</cp:revision>
  <dcterms:created xsi:type="dcterms:W3CDTF">2020-12-14T17:52:00Z</dcterms:created>
  <dcterms:modified xsi:type="dcterms:W3CDTF">2020-12-14T17:52:00Z</dcterms:modified>
  <cp:category/>
</cp:coreProperties>
</file>