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DED6B" w14:textId="77777777" w:rsidR="00FF2F8B" w:rsidRDefault="00A9662C">
      <w:pPr>
        <w:pStyle w:val="Heading1"/>
        <w:jc w:val="center"/>
        <w:rPr>
          <w:rFonts w:ascii="Arial" w:hAnsi="Arial" w:cs="Arial"/>
          <w:sz w:val="36"/>
          <w:szCs w:val="36"/>
        </w:rPr>
      </w:pPr>
      <w:r>
        <w:rPr>
          <w:rFonts w:ascii="Arial" w:hAnsi="Arial" w:cs="Arial"/>
          <w:sz w:val="36"/>
          <w:szCs w:val="36"/>
        </w:rPr>
        <w:t>ALABAMA ESTATE PLANNING CHECKLIST</w:t>
      </w:r>
    </w:p>
    <w:p w14:paraId="78F43F35" w14:textId="77777777" w:rsidR="00C4721A" w:rsidRDefault="00C4721A" w:rsidP="00C4721A">
      <w:pPr>
        <w:pStyle w:val="NormalWeb"/>
        <w:rPr>
          <w:rFonts w:ascii="Arial" w:hAnsi="Arial" w:cs="Arial"/>
          <w:sz w:val="27"/>
          <w:szCs w:val="27"/>
        </w:rPr>
      </w:pPr>
    </w:p>
    <w:p w14:paraId="3EDDA28C" w14:textId="79CE432E" w:rsidR="00C4721A" w:rsidRDefault="00A9662C" w:rsidP="00C4721A">
      <w:pPr>
        <w:pStyle w:val="NormalWeb"/>
        <w:rPr>
          <w:rFonts w:ascii="Arial" w:hAnsi="Arial" w:cs="Arial"/>
          <w:sz w:val="27"/>
          <w:szCs w:val="27"/>
        </w:rPr>
      </w:pPr>
      <w:r>
        <w:rPr>
          <w:rFonts w:ascii="Arial" w:hAnsi="Arial" w:cs="Arial"/>
          <w:sz w:val="27"/>
          <w:szCs w:val="27"/>
        </w:rPr>
        <w:t xml:space="preserve">Following this guide will allow a resident of Alabama to plan their medical treatment in the latter years of life as well as safeguard their assets to ensure they transfer to the intended </w:t>
      </w:r>
      <w:r>
        <w:rPr>
          <w:rFonts w:ascii="Arial" w:hAnsi="Arial" w:cs="Arial"/>
          <w:sz w:val="27"/>
          <w:szCs w:val="27"/>
        </w:rPr>
        <w:t>individuals after their death.</w:t>
      </w:r>
    </w:p>
    <w:p w14:paraId="4973C80C" w14:textId="77777777" w:rsidR="00C4721A" w:rsidRDefault="00C4721A">
      <w:pPr>
        <w:pStyle w:val="NormalWeb"/>
        <w:rPr>
          <w:rStyle w:val="Strong"/>
          <w:rFonts w:ascii="Arial" w:hAnsi="Arial" w:cs="Arial"/>
          <w:sz w:val="32"/>
          <w:szCs w:val="32"/>
        </w:rPr>
      </w:pPr>
    </w:p>
    <w:p w14:paraId="6E35C031" w14:textId="1780F641" w:rsidR="00C4721A" w:rsidRDefault="00A9662C">
      <w:pPr>
        <w:pStyle w:val="NormalWeb"/>
        <w:rPr>
          <w:rFonts w:ascii="Arial" w:hAnsi="Arial" w:cs="Arial"/>
          <w:sz w:val="27"/>
          <w:szCs w:val="27"/>
        </w:rPr>
      </w:pPr>
      <w:r>
        <w:rPr>
          <w:rStyle w:val="Strong"/>
          <w:rFonts w:ascii="Arial" w:hAnsi="Arial" w:cs="Arial"/>
          <w:sz w:val="32"/>
          <w:szCs w:val="32"/>
        </w:rPr>
        <w:t>Step 1 - Choose a Health Care Proxy</w:t>
      </w:r>
    </w:p>
    <w:p w14:paraId="6A63F37D" w14:textId="77777777" w:rsidR="00C4721A" w:rsidRDefault="00C4721A">
      <w:pPr>
        <w:pStyle w:val="NormalWeb"/>
        <w:rPr>
          <w:rStyle w:val="Strong"/>
          <w:rFonts w:ascii="Arial" w:hAnsi="Arial" w:cs="Arial"/>
          <w:sz w:val="32"/>
          <w:szCs w:val="32"/>
        </w:rPr>
      </w:pPr>
    </w:p>
    <w:p w14:paraId="2A28E9E5" w14:textId="1F1B038D" w:rsidR="00FF2F8B" w:rsidRPr="00C4721A" w:rsidRDefault="00A9662C">
      <w:pPr>
        <w:pStyle w:val="NormalWeb"/>
        <w:rPr>
          <w:rFonts w:ascii="Arial" w:hAnsi="Arial" w:cs="Arial"/>
          <w:sz w:val="27"/>
          <w:szCs w:val="27"/>
        </w:rPr>
      </w:pPr>
      <w:r>
        <w:rPr>
          <w:rFonts w:ascii="Arial" w:hAnsi="Arial" w:cs="Arial"/>
          <w:sz w:val="27"/>
          <w:szCs w:val="27"/>
        </w:rPr>
        <w:t>A</w:t>
      </w:r>
      <w:r>
        <w:rPr>
          <w:rFonts w:ascii="Arial" w:hAnsi="Arial" w:cs="Arial"/>
          <w:sz w:val="27"/>
          <w:szCs w:val="27"/>
        </w:rPr>
        <w:t xml:space="preserve"> </w:t>
      </w:r>
      <w:r>
        <w:rPr>
          <w:rStyle w:val="Strong"/>
          <w:rFonts w:ascii="Arial" w:hAnsi="Arial" w:cs="Arial"/>
          <w:sz w:val="27"/>
          <w:szCs w:val="27"/>
        </w:rPr>
        <w:t>health care proxy</w:t>
      </w:r>
      <w:r>
        <w:rPr>
          <w:rFonts w:ascii="Arial" w:hAnsi="Arial" w:cs="Arial"/>
          <w:sz w:val="27"/>
          <w:szCs w:val="27"/>
        </w:rPr>
        <w:t xml:space="preserve"> is an individual that is legally allowed to make medical decisions on a patient's behalf if they cannot speak for themselves. This only comes into effect in the chance a</w:t>
      </w:r>
      <w:r>
        <w:rPr>
          <w:rFonts w:ascii="Arial" w:hAnsi="Arial" w:cs="Arial"/>
          <w:sz w:val="27"/>
          <w:szCs w:val="27"/>
        </w:rPr>
        <w:t xml:space="preserve"> person is in the hospital and is not able to make decisions for themselves. This allows the health care proxy, which is usually a spouse or family member, to give direction to medical staff that is in the best interests of the patient.</w:t>
      </w:r>
    </w:p>
    <w:p w14:paraId="7EA1BDE5" w14:textId="77777777" w:rsidR="00FF2F8B" w:rsidRDefault="00A9662C">
      <w:pPr>
        <w:pStyle w:val="NormalWeb"/>
      </w:pPr>
      <w:hyperlink r:id="rId7" w:history="1">
        <w:r>
          <w:rPr>
            <w:rStyle w:val="Hyperlink"/>
            <w:rFonts w:ascii="Arial" w:hAnsi="Arial" w:cs="Arial"/>
            <w:sz w:val="27"/>
            <w:szCs w:val="27"/>
          </w:rPr>
          <w:t>Advance Directive</w:t>
        </w:r>
      </w:hyperlink>
      <w:r>
        <w:rPr>
          <w:rFonts w:ascii="Arial" w:hAnsi="Arial" w:cs="Arial"/>
          <w:sz w:val="27"/>
          <w:szCs w:val="27"/>
        </w:rPr>
        <w:t xml:space="preserve"> - This combines the </w:t>
      </w:r>
      <w:r>
        <w:rPr>
          <w:rStyle w:val="Strong"/>
          <w:rFonts w:ascii="Arial" w:hAnsi="Arial" w:cs="Arial"/>
          <w:sz w:val="27"/>
          <w:szCs w:val="27"/>
        </w:rPr>
        <w:t>medical power of attorney</w:t>
      </w:r>
      <w:r>
        <w:rPr>
          <w:rFonts w:ascii="Arial" w:hAnsi="Arial" w:cs="Arial"/>
          <w:sz w:val="27"/>
          <w:szCs w:val="27"/>
        </w:rPr>
        <w:t xml:space="preserve"> and </w:t>
      </w:r>
      <w:r>
        <w:rPr>
          <w:rStyle w:val="Strong"/>
          <w:rFonts w:ascii="Arial" w:hAnsi="Arial" w:cs="Arial"/>
          <w:sz w:val="27"/>
          <w:szCs w:val="27"/>
        </w:rPr>
        <w:t>living will</w:t>
      </w:r>
      <w:r>
        <w:rPr>
          <w:rFonts w:ascii="Arial" w:hAnsi="Arial" w:cs="Arial"/>
          <w:sz w:val="27"/>
          <w:szCs w:val="27"/>
        </w:rPr>
        <w:t xml:space="preserve"> so an individual may choose their end-of-life treatment options as well as being able</w:t>
      </w:r>
      <w:r>
        <w:rPr>
          <w:rFonts w:ascii="Arial" w:hAnsi="Arial" w:cs="Arial"/>
          <w:sz w:val="27"/>
          <w:szCs w:val="27"/>
        </w:rPr>
        <w:t xml:space="preserve"> to elect a health care proxy.</w:t>
      </w:r>
    </w:p>
    <w:p w14:paraId="1DFEF3E1" w14:textId="77777777" w:rsidR="00FF2F8B" w:rsidRDefault="00A9662C">
      <w:pPr>
        <w:numPr>
          <w:ilvl w:val="0"/>
          <w:numId w:val="1"/>
        </w:numPr>
        <w:spacing w:before="100" w:after="100"/>
      </w:pPr>
      <w:r>
        <w:rPr>
          <w:rStyle w:val="Strong"/>
          <w:rFonts w:ascii="Arial" w:hAnsi="Arial" w:cs="Arial"/>
          <w:sz w:val="27"/>
          <w:szCs w:val="27"/>
        </w:rPr>
        <w:t>Signing Requirements</w:t>
      </w:r>
      <w:r>
        <w:rPr>
          <w:rFonts w:ascii="Arial" w:hAnsi="Arial" w:cs="Arial"/>
          <w:sz w:val="27"/>
          <w:szCs w:val="27"/>
        </w:rPr>
        <w:t xml:space="preserve"> (</w:t>
      </w:r>
      <w:hyperlink r:id="rId8" w:history="1">
        <w:r>
          <w:rPr>
            <w:rStyle w:val="Hyperlink"/>
            <w:rFonts w:ascii="Arial" w:hAnsi="Arial" w:cs="Arial"/>
            <w:sz w:val="27"/>
            <w:szCs w:val="27"/>
          </w:rPr>
          <w:t>§ 22-8A-4 (c)(4)</w:t>
        </w:r>
      </w:hyperlink>
      <w:r>
        <w:rPr>
          <w:rFonts w:ascii="Arial" w:hAnsi="Arial" w:cs="Arial"/>
          <w:sz w:val="27"/>
          <w:szCs w:val="27"/>
        </w:rPr>
        <w:t>) - At least two (2) witnesses 19 years of age or older and they cannot be the health care p</w:t>
      </w:r>
      <w:r>
        <w:rPr>
          <w:rFonts w:ascii="Arial" w:hAnsi="Arial" w:cs="Arial"/>
          <w:sz w:val="27"/>
          <w:szCs w:val="27"/>
        </w:rPr>
        <w:t>roxy or be related to the principal by blood or marriage or be a part of their estate.</w:t>
      </w:r>
    </w:p>
    <w:p w14:paraId="57866CBC" w14:textId="77777777" w:rsidR="00C4721A" w:rsidRDefault="00C4721A">
      <w:pPr>
        <w:pStyle w:val="Heading3"/>
        <w:rPr>
          <w:rStyle w:val="Strong"/>
          <w:rFonts w:ascii="Arial" w:hAnsi="Arial" w:cs="Arial"/>
          <w:b/>
          <w:bCs/>
          <w:sz w:val="32"/>
          <w:szCs w:val="32"/>
        </w:rPr>
      </w:pPr>
    </w:p>
    <w:p w14:paraId="58DEB19D" w14:textId="4D29CC10" w:rsidR="00FF2F8B" w:rsidRDefault="00A9662C">
      <w:pPr>
        <w:pStyle w:val="Heading3"/>
      </w:pPr>
      <w:r>
        <w:rPr>
          <w:rStyle w:val="Strong"/>
          <w:rFonts w:ascii="Arial" w:hAnsi="Arial" w:cs="Arial"/>
          <w:b/>
          <w:bCs/>
          <w:sz w:val="32"/>
          <w:szCs w:val="32"/>
        </w:rPr>
        <w:t>Step 2 - Choose a Financial Agent</w:t>
      </w:r>
    </w:p>
    <w:p w14:paraId="1B4C1D12" w14:textId="77777777" w:rsidR="00C4721A" w:rsidRDefault="00C4721A">
      <w:pPr>
        <w:pStyle w:val="NormalWeb"/>
        <w:rPr>
          <w:rFonts w:ascii="Arial" w:hAnsi="Arial" w:cs="Arial"/>
          <w:sz w:val="27"/>
          <w:szCs w:val="27"/>
        </w:rPr>
      </w:pPr>
    </w:p>
    <w:p w14:paraId="7250BAAF" w14:textId="5B0649DA" w:rsidR="00FF2F8B" w:rsidRDefault="00A9662C">
      <w:pPr>
        <w:pStyle w:val="NormalWeb"/>
        <w:rPr>
          <w:rFonts w:ascii="Arial" w:hAnsi="Arial" w:cs="Arial"/>
          <w:sz w:val="27"/>
          <w:szCs w:val="27"/>
        </w:rPr>
      </w:pPr>
      <w:r>
        <w:rPr>
          <w:rFonts w:ascii="Arial" w:hAnsi="Arial" w:cs="Arial"/>
          <w:sz w:val="27"/>
          <w:szCs w:val="27"/>
        </w:rPr>
        <w:t>For the same reasons an individual should want a health care agent ('health care proxy'), a financial agent should be selected as well.</w:t>
      </w:r>
      <w:r>
        <w:rPr>
          <w:rFonts w:ascii="Arial" w:hAnsi="Arial" w:cs="Arial"/>
          <w:sz w:val="27"/>
          <w:szCs w:val="27"/>
        </w:rPr>
        <w:t xml:space="preserve"> Most often, this agent is the same person as the health care proxy. The financial agent will have the ability to handle all assets, if requested, of the principal.</w:t>
      </w:r>
    </w:p>
    <w:p w14:paraId="1E16C5EF" w14:textId="77777777" w:rsidR="00FF2F8B" w:rsidRDefault="00A9662C">
      <w:pPr>
        <w:pStyle w:val="NormalWeb"/>
      </w:pPr>
      <w:hyperlink r:id="rId9" w:history="1">
        <w:r>
          <w:rPr>
            <w:rStyle w:val="Hyperlink"/>
            <w:rFonts w:ascii="Arial" w:hAnsi="Arial" w:cs="Arial"/>
            <w:sz w:val="27"/>
            <w:szCs w:val="27"/>
          </w:rPr>
          <w:t>Durable (Financial) Power of Attorney</w:t>
        </w:r>
      </w:hyperlink>
      <w:r>
        <w:rPr>
          <w:rFonts w:ascii="Arial" w:hAnsi="Arial" w:cs="Arial"/>
          <w:sz w:val="27"/>
          <w:szCs w:val="27"/>
        </w:rPr>
        <w:t xml:space="preserve"> - Allows an individual (the 'Principal') to select someone else to handle all or a portion of their financial activity.</w:t>
      </w:r>
    </w:p>
    <w:p w14:paraId="6AB42D20" w14:textId="77777777" w:rsidR="00FF2F8B" w:rsidRDefault="00A9662C">
      <w:pPr>
        <w:numPr>
          <w:ilvl w:val="0"/>
          <w:numId w:val="2"/>
        </w:numPr>
        <w:spacing w:before="100" w:after="100"/>
      </w:pPr>
      <w:r>
        <w:rPr>
          <w:rStyle w:val="Strong"/>
          <w:rFonts w:ascii="Arial" w:hAnsi="Arial" w:cs="Arial"/>
          <w:sz w:val="27"/>
          <w:szCs w:val="27"/>
        </w:rPr>
        <w:t>Signing Requirements</w:t>
      </w:r>
      <w:r>
        <w:rPr>
          <w:rFonts w:ascii="Arial" w:hAnsi="Arial" w:cs="Arial"/>
          <w:sz w:val="27"/>
          <w:szCs w:val="27"/>
        </w:rPr>
        <w:t xml:space="preserve"> (</w:t>
      </w:r>
      <w:hyperlink r:id="rId10" w:history="1">
        <w:r>
          <w:rPr>
            <w:rStyle w:val="Hyperlink"/>
            <w:rFonts w:ascii="Arial" w:hAnsi="Arial" w:cs="Arial"/>
            <w:sz w:val="27"/>
            <w:szCs w:val="27"/>
          </w:rPr>
          <w:t>§ 26-1A-105</w:t>
        </w:r>
      </w:hyperlink>
      <w:r>
        <w:rPr>
          <w:rFonts w:ascii="Arial" w:hAnsi="Arial" w:cs="Arial"/>
          <w:sz w:val="27"/>
          <w:szCs w:val="27"/>
        </w:rPr>
        <w:t>) - Must be authorized with the principal and agent(s) in the presence of a notar</w:t>
      </w:r>
      <w:bookmarkStart w:id="0" w:name="_GoBack"/>
      <w:bookmarkEnd w:id="0"/>
      <w:r>
        <w:rPr>
          <w:rFonts w:ascii="Arial" w:hAnsi="Arial" w:cs="Arial"/>
          <w:sz w:val="27"/>
          <w:szCs w:val="27"/>
        </w:rPr>
        <w:t>y public.</w:t>
      </w:r>
    </w:p>
    <w:p w14:paraId="1D341385" w14:textId="77777777" w:rsidR="00FF2F8B" w:rsidRDefault="00A9662C">
      <w:pPr>
        <w:pStyle w:val="NormalWeb"/>
      </w:pPr>
      <w:r>
        <w:rPr>
          <w:rStyle w:val="Strong"/>
          <w:rFonts w:ascii="Arial" w:hAnsi="Arial" w:cs="Arial"/>
          <w:sz w:val="27"/>
          <w:szCs w:val="27"/>
        </w:rPr>
        <w:t>Financial Powers Allowed</w:t>
      </w:r>
      <w:r>
        <w:rPr>
          <w:rFonts w:ascii="Arial" w:hAnsi="Arial" w:cs="Arial"/>
          <w:sz w:val="27"/>
          <w:szCs w:val="27"/>
        </w:rPr>
        <w:t>:</w:t>
      </w:r>
    </w:p>
    <w:p w14:paraId="71DDA88F" w14:textId="77777777" w:rsidR="00FF2F8B" w:rsidRDefault="00A9662C">
      <w:pPr>
        <w:numPr>
          <w:ilvl w:val="0"/>
          <w:numId w:val="3"/>
        </w:numPr>
        <w:spacing w:before="100" w:after="100"/>
      </w:pPr>
      <w:r>
        <w:rPr>
          <w:rFonts w:ascii="Arial" w:hAnsi="Arial" w:cs="Arial"/>
          <w:sz w:val="27"/>
          <w:szCs w:val="27"/>
        </w:rPr>
        <w:t>Real property (</w:t>
      </w:r>
      <w:hyperlink r:id="rId11" w:history="1">
        <w:r>
          <w:rPr>
            <w:rStyle w:val="Hyperlink"/>
            <w:rFonts w:ascii="Arial" w:hAnsi="Arial" w:cs="Arial"/>
            <w:sz w:val="27"/>
            <w:szCs w:val="27"/>
          </w:rPr>
          <w:t>§ 26-1A-204</w:t>
        </w:r>
      </w:hyperlink>
      <w:r>
        <w:rPr>
          <w:rFonts w:ascii="Arial" w:hAnsi="Arial" w:cs="Arial"/>
          <w:sz w:val="27"/>
          <w:szCs w:val="27"/>
        </w:rPr>
        <w:t>);</w:t>
      </w:r>
    </w:p>
    <w:p w14:paraId="5F986E95" w14:textId="77777777" w:rsidR="00FF2F8B" w:rsidRDefault="00A9662C">
      <w:pPr>
        <w:numPr>
          <w:ilvl w:val="0"/>
          <w:numId w:val="3"/>
        </w:numPr>
        <w:spacing w:before="100" w:after="100"/>
      </w:pPr>
      <w:r>
        <w:rPr>
          <w:rFonts w:ascii="Arial" w:hAnsi="Arial" w:cs="Arial"/>
          <w:sz w:val="27"/>
          <w:szCs w:val="27"/>
        </w:rPr>
        <w:t>Tangible personal property (</w:t>
      </w:r>
      <w:hyperlink r:id="rId12" w:history="1">
        <w:r>
          <w:rPr>
            <w:rStyle w:val="Hyperlink"/>
            <w:rFonts w:ascii="Arial" w:hAnsi="Arial" w:cs="Arial"/>
            <w:sz w:val="27"/>
            <w:szCs w:val="27"/>
          </w:rPr>
          <w:t>§ 26-1A-205</w:t>
        </w:r>
      </w:hyperlink>
      <w:r>
        <w:rPr>
          <w:rFonts w:ascii="Arial" w:hAnsi="Arial" w:cs="Arial"/>
          <w:sz w:val="27"/>
          <w:szCs w:val="27"/>
        </w:rPr>
        <w:t>);</w:t>
      </w:r>
    </w:p>
    <w:p w14:paraId="75D7350C" w14:textId="77777777" w:rsidR="00FF2F8B" w:rsidRDefault="00A9662C">
      <w:pPr>
        <w:numPr>
          <w:ilvl w:val="0"/>
          <w:numId w:val="3"/>
        </w:numPr>
        <w:spacing w:before="100" w:after="100"/>
      </w:pPr>
      <w:r>
        <w:rPr>
          <w:rFonts w:ascii="Arial" w:hAnsi="Arial" w:cs="Arial"/>
          <w:sz w:val="27"/>
          <w:szCs w:val="27"/>
        </w:rPr>
        <w:lastRenderedPageBreak/>
        <w:t>Stocks a</w:t>
      </w:r>
      <w:r>
        <w:rPr>
          <w:rFonts w:ascii="Arial" w:hAnsi="Arial" w:cs="Arial"/>
          <w:sz w:val="27"/>
          <w:szCs w:val="27"/>
        </w:rPr>
        <w:t>nd Bonds (</w:t>
      </w:r>
      <w:hyperlink r:id="rId13" w:history="1">
        <w:r>
          <w:rPr>
            <w:rStyle w:val="Hyperlink"/>
            <w:rFonts w:ascii="Arial" w:hAnsi="Arial" w:cs="Arial"/>
            <w:sz w:val="27"/>
            <w:szCs w:val="27"/>
          </w:rPr>
          <w:t>§ 26-1A-206</w:t>
        </w:r>
      </w:hyperlink>
      <w:r>
        <w:rPr>
          <w:rFonts w:ascii="Arial" w:hAnsi="Arial" w:cs="Arial"/>
          <w:sz w:val="27"/>
          <w:szCs w:val="27"/>
        </w:rPr>
        <w:t>);</w:t>
      </w:r>
    </w:p>
    <w:p w14:paraId="5C1B1547" w14:textId="77777777" w:rsidR="00FF2F8B" w:rsidRDefault="00A9662C">
      <w:pPr>
        <w:numPr>
          <w:ilvl w:val="0"/>
          <w:numId w:val="3"/>
        </w:numPr>
        <w:spacing w:before="100" w:after="100"/>
      </w:pPr>
      <w:r>
        <w:rPr>
          <w:rFonts w:ascii="Arial" w:hAnsi="Arial" w:cs="Arial"/>
          <w:sz w:val="27"/>
          <w:szCs w:val="27"/>
        </w:rPr>
        <w:t>Commodities and Options (</w:t>
      </w:r>
      <w:hyperlink r:id="rId14" w:history="1">
        <w:r>
          <w:rPr>
            <w:rStyle w:val="Hyperlink"/>
            <w:rFonts w:ascii="Arial" w:hAnsi="Arial" w:cs="Arial"/>
            <w:sz w:val="27"/>
            <w:szCs w:val="27"/>
          </w:rPr>
          <w:t>§ 26-1A-207</w:t>
        </w:r>
      </w:hyperlink>
      <w:r>
        <w:rPr>
          <w:rFonts w:ascii="Arial" w:hAnsi="Arial" w:cs="Arial"/>
          <w:sz w:val="27"/>
          <w:szCs w:val="27"/>
        </w:rPr>
        <w:t>);</w:t>
      </w:r>
    </w:p>
    <w:p w14:paraId="160C31D1" w14:textId="77777777" w:rsidR="00FF2F8B" w:rsidRDefault="00A9662C">
      <w:pPr>
        <w:numPr>
          <w:ilvl w:val="0"/>
          <w:numId w:val="3"/>
        </w:numPr>
        <w:spacing w:before="100" w:after="100"/>
      </w:pPr>
      <w:r>
        <w:rPr>
          <w:rFonts w:ascii="Arial" w:hAnsi="Arial" w:cs="Arial"/>
          <w:sz w:val="27"/>
          <w:szCs w:val="27"/>
        </w:rPr>
        <w:t>Banks and Other Financial Institutions (</w:t>
      </w:r>
      <w:hyperlink r:id="rId15" w:history="1">
        <w:r>
          <w:rPr>
            <w:rStyle w:val="Hyperlink"/>
            <w:rFonts w:ascii="Arial" w:hAnsi="Arial" w:cs="Arial"/>
            <w:sz w:val="27"/>
            <w:szCs w:val="27"/>
          </w:rPr>
          <w:t>§ 26-1A-208</w:t>
        </w:r>
      </w:hyperlink>
      <w:r>
        <w:rPr>
          <w:rFonts w:ascii="Arial" w:hAnsi="Arial" w:cs="Arial"/>
          <w:sz w:val="27"/>
          <w:szCs w:val="27"/>
        </w:rPr>
        <w:t>);</w:t>
      </w:r>
    </w:p>
    <w:p w14:paraId="6CDFDD6A" w14:textId="77777777" w:rsidR="00FF2F8B" w:rsidRDefault="00A9662C">
      <w:pPr>
        <w:numPr>
          <w:ilvl w:val="0"/>
          <w:numId w:val="3"/>
        </w:numPr>
        <w:spacing w:before="100" w:after="100"/>
      </w:pPr>
      <w:r>
        <w:rPr>
          <w:rFonts w:ascii="Arial" w:hAnsi="Arial" w:cs="Arial"/>
          <w:sz w:val="27"/>
          <w:szCs w:val="27"/>
        </w:rPr>
        <w:t>Operation of Entity or Business (</w:t>
      </w:r>
      <w:hyperlink r:id="rId16" w:history="1">
        <w:r>
          <w:rPr>
            <w:rStyle w:val="Hyperlink"/>
            <w:rFonts w:ascii="Arial" w:hAnsi="Arial" w:cs="Arial"/>
            <w:sz w:val="27"/>
            <w:szCs w:val="27"/>
          </w:rPr>
          <w:t>§ 26-1A-209</w:t>
        </w:r>
      </w:hyperlink>
      <w:r>
        <w:rPr>
          <w:rFonts w:ascii="Arial" w:hAnsi="Arial" w:cs="Arial"/>
          <w:sz w:val="27"/>
          <w:szCs w:val="27"/>
        </w:rPr>
        <w:t>);</w:t>
      </w:r>
    </w:p>
    <w:p w14:paraId="633E1814" w14:textId="77777777" w:rsidR="00FF2F8B" w:rsidRDefault="00A9662C">
      <w:pPr>
        <w:numPr>
          <w:ilvl w:val="0"/>
          <w:numId w:val="3"/>
        </w:numPr>
        <w:spacing w:before="100" w:after="100"/>
      </w:pPr>
      <w:r>
        <w:rPr>
          <w:rFonts w:ascii="Arial" w:hAnsi="Arial" w:cs="Arial"/>
          <w:sz w:val="27"/>
          <w:szCs w:val="27"/>
        </w:rPr>
        <w:t>Insurance and Annuities (</w:t>
      </w:r>
      <w:hyperlink r:id="rId17" w:history="1">
        <w:r>
          <w:rPr>
            <w:rStyle w:val="Hyperlink"/>
            <w:rFonts w:ascii="Arial" w:hAnsi="Arial" w:cs="Arial"/>
            <w:sz w:val="27"/>
            <w:szCs w:val="27"/>
          </w:rPr>
          <w:t>§ 26-1A-210</w:t>
        </w:r>
      </w:hyperlink>
      <w:r>
        <w:rPr>
          <w:rFonts w:ascii="Arial" w:hAnsi="Arial" w:cs="Arial"/>
          <w:sz w:val="27"/>
          <w:szCs w:val="27"/>
        </w:rPr>
        <w:t>);</w:t>
      </w:r>
    </w:p>
    <w:p w14:paraId="602E98BF" w14:textId="77777777" w:rsidR="00FF2F8B" w:rsidRDefault="00A9662C">
      <w:pPr>
        <w:numPr>
          <w:ilvl w:val="0"/>
          <w:numId w:val="3"/>
        </w:numPr>
        <w:spacing w:before="100" w:after="100"/>
      </w:pPr>
      <w:r>
        <w:rPr>
          <w:rFonts w:ascii="Arial" w:hAnsi="Arial" w:cs="Arial"/>
          <w:sz w:val="27"/>
          <w:szCs w:val="27"/>
        </w:rPr>
        <w:t>Estates, Trusts, and other Beneficial Interests (</w:t>
      </w:r>
      <w:hyperlink r:id="rId18" w:history="1">
        <w:r>
          <w:rPr>
            <w:rStyle w:val="Hyperlink"/>
            <w:rFonts w:ascii="Arial" w:hAnsi="Arial" w:cs="Arial"/>
            <w:sz w:val="27"/>
            <w:szCs w:val="27"/>
          </w:rPr>
          <w:t>§ 26-1A-211</w:t>
        </w:r>
      </w:hyperlink>
      <w:r>
        <w:rPr>
          <w:rFonts w:ascii="Arial" w:hAnsi="Arial" w:cs="Arial"/>
          <w:sz w:val="27"/>
          <w:szCs w:val="27"/>
        </w:rPr>
        <w:t>);</w:t>
      </w:r>
    </w:p>
    <w:p w14:paraId="76A6BD49" w14:textId="77777777" w:rsidR="00FF2F8B" w:rsidRDefault="00A9662C">
      <w:pPr>
        <w:numPr>
          <w:ilvl w:val="0"/>
          <w:numId w:val="3"/>
        </w:numPr>
        <w:spacing w:before="100" w:after="100"/>
      </w:pPr>
      <w:r>
        <w:rPr>
          <w:rFonts w:ascii="Arial" w:hAnsi="Arial" w:cs="Arial"/>
          <w:sz w:val="27"/>
          <w:szCs w:val="27"/>
        </w:rPr>
        <w:t>Claims and Litigation (</w:t>
      </w:r>
      <w:hyperlink r:id="rId19" w:history="1">
        <w:r>
          <w:rPr>
            <w:rStyle w:val="Hyperlink"/>
            <w:rFonts w:ascii="Arial" w:hAnsi="Arial" w:cs="Arial"/>
            <w:sz w:val="27"/>
            <w:szCs w:val="27"/>
          </w:rPr>
          <w:t>§ 26-1A-212</w:t>
        </w:r>
      </w:hyperlink>
      <w:r>
        <w:rPr>
          <w:rFonts w:ascii="Arial" w:hAnsi="Arial" w:cs="Arial"/>
          <w:sz w:val="27"/>
          <w:szCs w:val="27"/>
        </w:rPr>
        <w:t>);</w:t>
      </w:r>
    </w:p>
    <w:p w14:paraId="75B89AEB" w14:textId="77777777" w:rsidR="00FF2F8B" w:rsidRDefault="00A9662C">
      <w:pPr>
        <w:numPr>
          <w:ilvl w:val="0"/>
          <w:numId w:val="3"/>
        </w:numPr>
        <w:spacing w:before="100" w:after="100"/>
      </w:pPr>
      <w:r>
        <w:rPr>
          <w:rFonts w:ascii="Arial" w:hAnsi="Arial" w:cs="Arial"/>
          <w:sz w:val="27"/>
          <w:szCs w:val="27"/>
        </w:rPr>
        <w:t xml:space="preserve">Personal and </w:t>
      </w:r>
      <w:r>
        <w:rPr>
          <w:rFonts w:ascii="Arial" w:hAnsi="Arial" w:cs="Arial"/>
          <w:sz w:val="27"/>
          <w:szCs w:val="27"/>
        </w:rPr>
        <w:t>Family Maintenance (</w:t>
      </w:r>
      <w:hyperlink r:id="rId20" w:history="1">
        <w:r>
          <w:rPr>
            <w:rStyle w:val="Hyperlink"/>
            <w:rFonts w:ascii="Arial" w:hAnsi="Arial" w:cs="Arial"/>
            <w:sz w:val="27"/>
            <w:szCs w:val="27"/>
          </w:rPr>
          <w:t>§ 26-1A-213</w:t>
        </w:r>
      </w:hyperlink>
      <w:r>
        <w:rPr>
          <w:rFonts w:ascii="Arial" w:hAnsi="Arial" w:cs="Arial"/>
          <w:sz w:val="27"/>
          <w:szCs w:val="27"/>
        </w:rPr>
        <w:t>);</w:t>
      </w:r>
    </w:p>
    <w:p w14:paraId="461C1DE2" w14:textId="77777777" w:rsidR="00FF2F8B" w:rsidRDefault="00A9662C">
      <w:pPr>
        <w:numPr>
          <w:ilvl w:val="0"/>
          <w:numId w:val="3"/>
        </w:numPr>
        <w:spacing w:before="100" w:after="100"/>
      </w:pPr>
      <w:r>
        <w:rPr>
          <w:rFonts w:ascii="Arial" w:hAnsi="Arial" w:cs="Arial"/>
          <w:sz w:val="27"/>
          <w:szCs w:val="27"/>
        </w:rPr>
        <w:t>Benefits from Governmental Programs or Civil or Military Service (</w:t>
      </w:r>
      <w:hyperlink r:id="rId21" w:history="1">
        <w:r>
          <w:rPr>
            <w:rStyle w:val="Hyperlink"/>
            <w:rFonts w:ascii="Arial" w:hAnsi="Arial" w:cs="Arial"/>
            <w:sz w:val="27"/>
            <w:szCs w:val="27"/>
          </w:rPr>
          <w:t>§ 26-1A-214</w:t>
        </w:r>
      </w:hyperlink>
      <w:r>
        <w:rPr>
          <w:rFonts w:ascii="Arial" w:hAnsi="Arial" w:cs="Arial"/>
          <w:sz w:val="27"/>
          <w:szCs w:val="27"/>
        </w:rPr>
        <w:t>);</w:t>
      </w:r>
    </w:p>
    <w:p w14:paraId="3FB35253" w14:textId="77777777" w:rsidR="00FF2F8B" w:rsidRDefault="00A9662C">
      <w:pPr>
        <w:numPr>
          <w:ilvl w:val="0"/>
          <w:numId w:val="3"/>
        </w:numPr>
        <w:spacing w:before="100" w:after="100"/>
      </w:pPr>
      <w:r>
        <w:rPr>
          <w:rFonts w:ascii="Arial" w:hAnsi="Arial" w:cs="Arial"/>
          <w:sz w:val="27"/>
          <w:szCs w:val="27"/>
        </w:rPr>
        <w:t>Retirement Plans (</w:t>
      </w:r>
      <w:hyperlink r:id="rId22" w:history="1">
        <w:r>
          <w:rPr>
            <w:rStyle w:val="Hyperlink"/>
            <w:rFonts w:ascii="Arial" w:hAnsi="Arial" w:cs="Arial"/>
            <w:sz w:val="27"/>
            <w:szCs w:val="27"/>
          </w:rPr>
          <w:t>§ 26-1A-215</w:t>
        </w:r>
      </w:hyperlink>
      <w:r>
        <w:rPr>
          <w:rFonts w:ascii="Arial" w:hAnsi="Arial" w:cs="Arial"/>
          <w:sz w:val="27"/>
          <w:szCs w:val="27"/>
        </w:rPr>
        <w:t>);</w:t>
      </w:r>
    </w:p>
    <w:p w14:paraId="5D6A1138" w14:textId="77777777" w:rsidR="00FF2F8B" w:rsidRDefault="00A9662C">
      <w:pPr>
        <w:numPr>
          <w:ilvl w:val="0"/>
          <w:numId w:val="3"/>
        </w:numPr>
        <w:spacing w:before="100" w:after="100"/>
      </w:pPr>
      <w:r>
        <w:rPr>
          <w:rFonts w:ascii="Arial" w:hAnsi="Arial" w:cs="Arial"/>
          <w:sz w:val="27"/>
          <w:szCs w:val="27"/>
        </w:rPr>
        <w:t>Taxes (</w:t>
      </w:r>
      <w:hyperlink r:id="rId23" w:history="1">
        <w:r>
          <w:rPr>
            <w:rStyle w:val="Hyperlink"/>
            <w:rFonts w:ascii="Arial" w:hAnsi="Arial" w:cs="Arial"/>
            <w:sz w:val="27"/>
            <w:szCs w:val="27"/>
          </w:rPr>
          <w:t>§ 26-1A-216</w:t>
        </w:r>
      </w:hyperlink>
      <w:r>
        <w:rPr>
          <w:rFonts w:ascii="Arial" w:hAnsi="Arial" w:cs="Arial"/>
          <w:sz w:val="27"/>
          <w:szCs w:val="27"/>
        </w:rPr>
        <w:t>); and</w:t>
      </w:r>
    </w:p>
    <w:p w14:paraId="49236DBB" w14:textId="77777777" w:rsidR="00FF2F8B" w:rsidRDefault="00A9662C">
      <w:pPr>
        <w:numPr>
          <w:ilvl w:val="0"/>
          <w:numId w:val="3"/>
        </w:numPr>
        <w:spacing w:before="100" w:after="100"/>
      </w:pPr>
      <w:r>
        <w:rPr>
          <w:rFonts w:ascii="Arial" w:hAnsi="Arial" w:cs="Arial"/>
          <w:sz w:val="27"/>
          <w:szCs w:val="27"/>
        </w:rPr>
        <w:t>Gifts (</w:t>
      </w:r>
      <w:hyperlink r:id="rId24" w:history="1">
        <w:r>
          <w:rPr>
            <w:rStyle w:val="Hyperlink"/>
            <w:rFonts w:ascii="Arial" w:hAnsi="Arial" w:cs="Arial"/>
            <w:sz w:val="27"/>
            <w:szCs w:val="27"/>
          </w:rPr>
          <w:t>§ 26-1A-217</w:t>
        </w:r>
      </w:hyperlink>
      <w:r>
        <w:rPr>
          <w:rFonts w:ascii="Arial" w:hAnsi="Arial" w:cs="Arial"/>
          <w:sz w:val="27"/>
          <w:szCs w:val="27"/>
        </w:rPr>
        <w:t>).</w:t>
      </w:r>
    </w:p>
    <w:p w14:paraId="7B85232A" w14:textId="77777777" w:rsidR="00C4721A" w:rsidRDefault="00C4721A">
      <w:pPr>
        <w:pStyle w:val="Heading3"/>
        <w:rPr>
          <w:rStyle w:val="Strong"/>
          <w:rFonts w:ascii="Arial" w:hAnsi="Arial" w:cs="Arial"/>
          <w:b/>
          <w:bCs/>
          <w:sz w:val="32"/>
          <w:szCs w:val="32"/>
        </w:rPr>
      </w:pPr>
    </w:p>
    <w:p w14:paraId="6F357759" w14:textId="5203EC18" w:rsidR="00FF2F8B" w:rsidRDefault="00A9662C">
      <w:pPr>
        <w:pStyle w:val="Heading3"/>
      </w:pPr>
      <w:r>
        <w:rPr>
          <w:rStyle w:val="Strong"/>
          <w:rFonts w:ascii="Arial" w:hAnsi="Arial" w:cs="Arial"/>
          <w:b/>
          <w:bCs/>
          <w:sz w:val="32"/>
          <w:szCs w:val="32"/>
        </w:rPr>
        <w:t>Step 3 - Make a List of All Assets and Real Estate</w:t>
      </w:r>
    </w:p>
    <w:p w14:paraId="32A7CEEC" w14:textId="77777777" w:rsidR="00C4721A" w:rsidRDefault="00C4721A">
      <w:pPr>
        <w:pStyle w:val="NormalWeb"/>
        <w:rPr>
          <w:rFonts w:ascii="Arial" w:hAnsi="Arial" w:cs="Arial"/>
          <w:sz w:val="27"/>
          <w:szCs w:val="27"/>
        </w:rPr>
      </w:pPr>
    </w:p>
    <w:p w14:paraId="7130780E" w14:textId="3DA30947" w:rsidR="00FF2F8B" w:rsidRDefault="00A9662C">
      <w:pPr>
        <w:pStyle w:val="NormalWeb"/>
      </w:pPr>
      <w:r>
        <w:rPr>
          <w:rFonts w:ascii="Arial" w:hAnsi="Arial" w:cs="Arial"/>
          <w:sz w:val="27"/>
          <w:szCs w:val="27"/>
        </w:rPr>
        <w:t xml:space="preserve">A list of all an individual's assets, real estate, and liabilities should be entered on a </w:t>
      </w:r>
      <w:hyperlink r:id="rId25" w:history="1">
        <w:r>
          <w:rPr>
            <w:rStyle w:val="Hyperlink"/>
            <w:rFonts w:ascii="Arial" w:hAnsi="Arial" w:cs="Arial"/>
            <w:sz w:val="27"/>
            <w:szCs w:val="27"/>
          </w:rPr>
          <w:t>Current Assets List</w:t>
        </w:r>
      </w:hyperlink>
      <w:r>
        <w:rPr>
          <w:rFonts w:ascii="Arial" w:hAnsi="Arial" w:cs="Arial"/>
          <w:sz w:val="27"/>
          <w:szCs w:val="27"/>
        </w:rPr>
        <w:t>. Not only will this help any financial agent that is selected, but this will help to coordinate 'who gets what' after death.</w:t>
      </w:r>
    </w:p>
    <w:p w14:paraId="7C37CE22" w14:textId="77777777" w:rsidR="00C4721A" w:rsidRDefault="00C4721A">
      <w:pPr>
        <w:pStyle w:val="Heading3"/>
        <w:rPr>
          <w:rStyle w:val="Strong"/>
          <w:rFonts w:ascii="Arial" w:hAnsi="Arial" w:cs="Arial"/>
          <w:b/>
          <w:bCs/>
          <w:sz w:val="32"/>
          <w:szCs w:val="32"/>
        </w:rPr>
      </w:pPr>
    </w:p>
    <w:p w14:paraId="6B7AB27C" w14:textId="6AB9FD50" w:rsidR="00FF2F8B" w:rsidRDefault="00A9662C">
      <w:pPr>
        <w:pStyle w:val="Heading3"/>
      </w:pPr>
      <w:r>
        <w:rPr>
          <w:rStyle w:val="Strong"/>
          <w:rFonts w:ascii="Arial" w:hAnsi="Arial" w:cs="Arial"/>
          <w:b/>
          <w:bCs/>
          <w:sz w:val="32"/>
          <w:szCs w:val="32"/>
        </w:rPr>
        <w:t>Step 4 - Decide 'Who Gets What'</w:t>
      </w:r>
    </w:p>
    <w:p w14:paraId="0EE35B79" w14:textId="77777777" w:rsidR="00C4721A" w:rsidRDefault="00C4721A">
      <w:pPr>
        <w:pStyle w:val="NormalWeb"/>
        <w:rPr>
          <w:rFonts w:ascii="Arial" w:hAnsi="Arial" w:cs="Arial"/>
          <w:sz w:val="27"/>
          <w:szCs w:val="27"/>
        </w:rPr>
      </w:pPr>
    </w:p>
    <w:p w14:paraId="5D1E338F" w14:textId="03EBFA06" w:rsidR="00FF2F8B" w:rsidRDefault="00A9662C">
      <w:pPr>
        <w:pStyle w:val="NormalWeb"/>
        <w:rPr>
          <w:rFonts w:ascii="Arial" w:hAnsi="Arial" w:cs="Arial"/>
          <w:sz w:val="27"/>
          <w:szCs w:val="27"/>
        </w:rPr>
      </w:pPr>
      <w:r>
        <w:rPr>
          <w:rFonts w:ascii="Arial" w:hAnsi="Arial" w:cs="Arial"/>
          <w:sz w:val="27"/>
          <w:szCs w:val="27"/>
        </w:rPr>
        <w:t>The next step will be to ide</w:t>
      </w:r>
      <w:r>
        <w:rPr>
          <w:rFonts w:ascii="Arial" w:hAnsi="Arial" w:cs="Arial"/>
          <w:sz w:val="27"/>
          <w:szCs w:val="27"/>
        </w:rPr>
        <w:t xml:space="preserve">ntify who will be the beneficiaries of the estate. These are the individuals that will be receiving the property after the individual dies. Most people either decide to give each beneficiary a percentage (%) of their entire estate or will give each person </w:t>
      </w:r>
      <w:r>
        <w:rPr>
          <w:rFonts w:ascii="Arial" w:hAnsi="Arial" w:cs="Arial"/>
          <w:sz w:val="27"/>
          <w:szCs w:val="27"/>
        </w:rPr>
        <w:t>specific assets.</w:t>
      </w:r>
    </w:p>
    <w:p w14:paraId="7BCDC365" w14:textId="77777777" w:rsidR="00C4721A" w:rsidRDefault="00C4721A">
      <w:pPr>
        <w:pStyle w:val="Heading3"/>
        <w:rPr>
          <w:rStyle w:val="Strong"/>
          <w:rFonts w:ascii="Arial" w:hAnsi="Arial" w:cs="Arial"/>
          <w:b/>
          <w:bCs/>
          <w:sz w:val="32"/>
          <w:szCs w:val="32"/>
        </w:rPr>
      </w:pPr>
    </w:p>
    <w:p w14:paraId="6AACE02B" w14:textId="4338F9A3" w:rsidR="00FF2F8B" w:rsidRDefault="00A9662C">
      <w:pPr>
        <w:pStyle w:val="Heading3"/>
      </w:pPr>
      <w:r>
        <w:rPr>
          <w:rStyle w:val="Strong"/>
          <w:rFonts w:ascii="Arial" w:hAnsi="Arial" w:cs="Arial"/>
          <w:b/>
          <w:bCs/>
          <w:sz w:val="32"/>
          <w:szCs w:val="32"/>
        </w:rPr>
        <w:t>Step 5 - Write a Living Trust or Last Will and Testament</w:t>
      </w:r>
    </w:p>
    <w:p w14:paraId="399A1327" w14:textId="77777777" w:rsidR="00C4721A" w:rsidRDefault="00C4721A">
      <w:pPr>
        <w:pStyle w:val="NormalWeb"/>
        <w:rPr>
          <w:rFonts w:ascii="Arial" w:hAnsi="Arial" w:cs="Arial"/>
          <w:sz w:val="27"/>
          <w:szCs w:val="27"/>
        </w:rPr>
      </w:pPr>
    </w:p>
    <w:p w14:paraId="0520CF0E" w14:textId="1FCDEA16" w:rsidR="00FF2F8B" w:rsidRDefault="00A9662C">
      <w:pPr>
        <w:pStyle w:val="NormalWeb"/>
        <w:rPr>
          <w:rFonts w:ascii="Arial" w:hAnsi="Arial" w:cs="Arial"/>
          <w:sz w:val="27"/>
          <w:szCs w:val="27"/>
        </w:rPr>
      </w:pPr>
      <w:r>
        <w:rPr>
          <w:rFonts w:ascii="Arial" w:hAnsi="Arial" w:cs="Arial"/>
          <w:sz w:val="27"/>
          <w:szCs w:val="27"/>
        </w:rPr>
        <w:t>Depending on the preference of the individual, a document will need to be created that allows the transfer assets and property in the estate to the beneficiaries.</w:t>
      </w:r>
    </w:p>
    <w:p w14:paraId="56B4021C" w14:textId="77777777" w:rsidR="00FF2F8B" w:rsidRDefault="00A9662C">
      <w:pPr>
        <w:pStyle w:val="NormalWeb"/>
      </w:pPr>
      <w:r>
        <w:rPr>
          <w:rStyle w:val="Strong"/>
          <w:rFonts w:ascii="Arial" w:hAnsi="Arial" w:cs="Arial"/>
          <w:sz w:val="27"/>
          <w:szCs w:val="27"/>
        </w:rPr>
        <w:lastRenderedPageBreak/>
        <w:t>Choose One (1)</w:t>
      </w:r>
    </w:p>
    <w:p w14:paraId="52C1C496" w14:textId="77777777" w:rsidR="00FF2F8B" w:rsidRDefault="00A9662C">
      <w:pPr>
        <w:pStyle w:val="NormalWeb"/>
      </w:pPr>
      <w:hyperlink r:id="rId26" w:history="1">
        <w:r>
          <w:rPr>
            <w:rStyle w:val="Hyperlink"/>
            <w:rFonts w:ascii="Arial" w:hAnsi="Arial" w:cs="Arial"/>
            <w:sz w:val="27"/>
            <w:szCs w:val="27"/>
          </w:rPr>
          <w:t>Last Will and Testament ('Will')</w:t>
        </w:r>
      </w:hyperlink>
      <w:r>
        <w:rPr>
          <w:rFonts w:ascii="Arial" w:hAnsi="Arial" w:cs="Arial"/>
          <w:sz w:val="27"/>
          <w:szCs w:val="27"/>
        </w:rPr>
        <w:t xml:space="preserve"> - The most traditional way to transfer an estate after death. The estate will still have to go through the probate process which usually takes </w:t>
      </w:r>
      <w:r>
        <w:rPr>
          <w:rFonts w:ascii="Arial" w:hAnsi="Arial" w:cs="Arial"/>
          <w:sz w:val="27"/>
          <w:szCs w:val="27"/>
        </w:rPr>
        <w:t>6-8 months if no one contests.</w:t>
      </w:r>
    </w:p>
    <w:p w14:paraId="6E9F9537" w14:textId="77777777" w:rsidR="00FF2F8B" w:rsidRDefault="00A9662C">
      <w:pPr>
        <w:numPr>
          <w:ilvl w:val="0"/>
          <w:numId w:val="4"/>
        </w:numPr>
        <w:spacing w:before="100" w:after="100"/>
      </w:pPr>
      <w:r>
        <w:rPr>
          <w:rStyle w:val="Strong"/>
          <w:rFonts w:ascii="Arial" w:hAnsi="Arial" w:cs="Arial"/>
          <w:sz w:val="27"/>
          <w:szCs w:val="27"/>
        </w:rPr>
        <w:t>Signing Requirements</w:t>
      </w:r>
      <w:r>
        <w:rPr>
          <w:rFonts w:ascii="Arial" w:hAnsi="Arial" w:cs="Arial"/>
          <w:sz w:val="27"/>
          <w:szCs w:val="27"/>
        </w:rPr>
        <w:t> (</w:t>
      </w:r>
      <w:hyperlink r:id="rId27" w:history="1">
        <w:r>
          <w:rPr>
            <w:rStyle w:val="Hyperlink"/>
            <w:rFonts w:ascii="Arial" w:hAnsi="Arial" w:cs="Arial"/>
            <w:sz w:val="27"/>
            <w:szCs w:val="27"/>
          </w:rPr>
          <w:t>§ 43-8-131</w:t>
        </w:r>
      </w:hyperlink>
      <w:r>
        <w:rPr>
          <w:rFonts w:ascii="Arial" w:hAnsi="Arial" w:cs="Arial"/>
          <w:sz w:val="27"/>
          <w:szCs w:val="27"/>
        </w:rPr>
        <w:t>) - Required to be signed in the presence of two (2) witnesses.</w:t>
      </w:r>
    </w:p>
    <w:p w14:paraId="7B2C604E" w14:textId="77777777" w:rsidR="00FF2F8B" w:rsidRDefault="00A9662C">
      <w:pPr>
        <w:pStyle w:val="NormalWeb"/>
      </w:pPr>
      <w:hyperlink r:id="rId28" w:history="1">
        <w:r>
          <w:rPr>
            <w:rStyle w:val="Hyperlink"/>
            <w:rFonts w:ascii="Arial" w:hAnsi="Arial" w:cs="Arial"/>
            <w:sz w:val="27"/>
            <w:szCs w:val="27"/>
          </w:rPr>
          <w:t>Living Trust (Revocable)</w:t>
        </w:r>
      </w:hyperlink>
      <w:r>
        <w:rPr>
          <w:rFonts w:ascii="Arial" w:hAnsi="Arial" w:cs="Arial"/>
          <w:sz w:val="27"/>
          <w:szCs w:val="27"/>
        </w:rPr>
        <w:t xml:space="preserve"> - Creates an entity with the creator being the trustee and the beneficiaries being the successor trustees. Therefore, the creator benefits from the assets in the trust until t</w:t>
      </w:r>
      <w:r>
        <w:rPr>
          <w:rFonts w:ascii="Arial" w:hAnsi="Arial" w:cs="Arial"/>
          <w:sz w:val="27"/>
          <w:szCs w:val="27"/>
        </w:rPr>
        <w:t>heir death. Afterward, the successor trustees become the owners of the trust.</w:t>
      </w:r>
    </w:p>
    <w:p w14:paraId="70777DF4" w14:textId="77777777" w:rsidR="00FF2F8B" w:rsidRDefault="00A9662C">
      <w:pPr>
        <w:numPr>
          <w:ilvl w:val="0"/>
          <w:numId w:val="5"/>
        </w:numPr>
        <w:spacing w:before="100" w:after="100"/>
      </w:pPr>
      <w:r>
        <w:rPr>
          <w:rStyle w:val="Strong"/>
          <w:rFonts w:ascii="Arial" w:hAnsi="Arial" w:cs="Arial"/>
          <w:sz w:val="27"/>
          <w:szCs w:val="27"/>
        </w:rPr>
        <w:t>Signing Requirements</w:t>
      </w:r>
      <w:r>
        <w:rPr>
          <w:rFonts w:ascii="Arial" w:hAnsi="Arial" w:cs="Arial"/>
          <w:sz w:val="27"/>
          <w:szCs w:val="27"/>
        </w:rPr>
        <w:t> (</w:t>
      </w:r>
      <w:hyperlink r:id="rId29" w:history="1">
        <w:r>
          <w:rPr>
            <w:rStyle w:val="Hyperlink"/>
            <w:rFonts w:ascii="Arial" w:hAnsi="Arial" w:cs="Arial"/>
            <w:sz w:val="27"/>
            <w:szCs w:val="27"/>
          </w:rPr>
          <w:t>§ 19-3B-1202</w:t>
        </w:r>
      </w:hyperlink>
      <w:r>
        <w:rPr>
          <w:rFonts w:ascii="Arial" w:hAnsi="Arial" w:cs="Arial"/>
          <w:sz w:val="27"/>
          <w:szCs w:val="27"/>
        </w:rPr>
        <w:t xml:space="preserve">) - No witnesses required by State law. </w:t>
      </w:r>
      <w:r>
        <w:rPr>
          <w:rFonts w:ascii="Arial" w:hAnsi="Arial" w:cs="Arial"/>
          <w:sz w:val="27"/>
          <w:szCs w:val="27"/>
        </w:rPr>
        <w:t xml:space="preserve">Although, it's recommended the creator (the 'Grantor') authorize the attached </w:t>
      </w:r>
      <w:hyperlink r:id="rId30" w:history="1">
        <w:r>
          <w:rPr>
            <w:rStyle w:val="Hyperlink"/>
            <w:rFonts w:ascii="Arial" w:hAnsi="Arial" w:cs="Arial"/>
            <w:sz w:val="27"/>
            <w:szCs w:val="27"/>
          </w:rPr>
          <w:t>Self-Proving Affidavit</w:t>
        </w:r>
      </w:hyperlink>
      <w:r>
        <w:rPr>
          <w:rFonts w:ascii="Arial" w:hAnsi="Arial" w:cs="Arial"/>
          <w:sz w:val="27"/>
          <w:szCs w:val="27"/>
        </w:rPr>
        <w:t xml:space="preserve"> which acknowledges the signature in front of either two (2) witnesses and a notary pub</w:t>
      </w:r>
      <w:r>
        <w:rPr>
          <w:rFonts w:ascii="Arial" w:hAnsi="Arial" w:cs="Arial"/>
          <w:sz w:val="27"/>
          <w:szCs w:val="27"/>
        </w:rPr>
        <w:t>lic.</w:t>
      </w:r>
    </w:p>
    <w:p w14:paraId="3327EFF4" w14:textId="77777777" w:rsidR="00FF2F8B" w:rsidRDefault="00A9662C">
      <w:pPr>
        <w:pStyle w:val="NormalWeb"/>
      </w:pPr>
      <w:r>
        <w:rPr>
          <w:rStyle w:val="Strong"/>
          <w:rFonts w:ascii="Arial" w:hAnsi="Arial" w:cs="Arial"/>
          <w:sz w:val="27"/>
          <w:szCs w:val="27"/>
        </w:rPr>
        <w:t>Main Difference</w:t>
      </w:r>
      <w:r>
        <w:rPr>
          <w:rFonts w:ascii="Arial" w:hAnsi="Arial" w:cs="Arial"/>
          <w:sz w:val="27"/>
          <w:szCs w:val="27"/>
        </w:rPr>
        <w:t xml:space="preserve"> - A Last Will and Testament must undergo the probate process while a Living Trust does not.</w:t>
      </w:r>
    </w:p>
    <w:p w14:paraId="5C46EA4A" w14:textId="77777777" w:rsidR="00C4721A" w:rsidRDefault="00C4721A">
      <w:pPr>
        <w:pStyle w:val="Heading3"/>
        <w:rPr>
          <w:rStyle w:val="Strong"/>
          <w:rFonts w:ascii="Arial" w:hAnsi="Arial" w:cs="Arial"/>
          <w:b/>
          <w:bCs/>
          <w:sz w:val="32"/>
          <w:szCs w:val="32"/>
        </w:rPr>
      </w:pPr>
    </w:p>
    <w:p w14:paraId="1E2D364A" w14:textId="66DD8BBE" w:rsidR="00FF2F8B" w:rsidRDefault="00A9662C">
      <w:pPr>
        <w:pStyle w:val="Heading3"/>
      </w:pPr>
      <w:r>
        <w:rPr>
          <w:rStyle w:val="Strong"/>
          <w:rFonts w:ascii="Arial" w:hAnsi="Arial" w:cs="Arial"/>
          <w:b/>
          <w:bCs/>
          <w:sz w:val="32"/>
          <w:szCs w:val="32"/>
        </w:rPr>
        <w:t>Step 6 - Storing the Documents</w:t>
      </w:r>
    </w:p>
    <w:p w14:paraId="64ED54BF" w14:textId="77777777" w:rsidR="00C4721A" w:rsidRDefault="00C4721A">
      <w:pPr>
        <w:pStyle w:val="NormalWeb"/>
        <w:rPr>
          <w:rFonts w:ascii="Arial" w:hAnsi="Arial" w:cs="Arial"/>
          <w:sz w:val="27"/>
          <w:szCs w:val="27"/>
        </w:rPr>
      </w:pPr>
    </w:p>
    <w:p w14:paraId="478875C5" w14:textId="2796F2CC" w:rsidR="00FF2F8B" w:rsidRDefault="00A9662C">
      <w:pPr>
        <w:pStyle w:val="NormalWeb"/>
        <w:rPr>
          <w:rFonts w:ascii="Arial" w:hAnsi="Arial" w:cs="Arial"/>
          <w:sz w:val="27"/>
          <w:szCs w:val="27"/>
        </w:rPr>
      </w:pPr>
      <w:r>
        <w:rPr>
          <w:rFonts w:ascii="Arial" w:hAnsi="Arial" w:cs="Arial"/>
          <w:sz w:val="27"/>
          <w:szCs w:val="27"/>
        </w:rPr>
        <w:t xml:space="preserve">In the case of medical and durable power of attorney, original copies should be given to the agent(s) selected. </w:t>
      </w:r>
      <w:r>
        <w:rPr>
          <w:rFonts w:ascii="Arial" w:hAnsi="Arial" w:cs="Arial"/>
          <w:sz w:val="27"/>
          <w:szCs w:val="27"/>
        </w:rPr>
        <w:t>For estate forms, the creator's attorney should receive a copy along with the beneficiaries. This will ensure that an heir or family member will have a copy at the time of death.</w:t>
      </w:r>
    </w:p>
    <w:p w14:paraId="591AEBF1" w14:textId="77777777" w:rsidR="00FF2F8B" w:rsidRDefault="00A9662C">
      <w:pPr>
        <w:pStyle w:val="NormalWeb"/>
        <w:rPr>
          <w:rFonts w:ascii="Arial" w:hAnsi="Arial" w:cs="Arial"/>
          <w:sz w:val="27"/>
          <w:szCs w:val="27"/>
        </w:rPr>
      </w:pPr>
      <w:r>
        <w:rPr>
          <w:rFonts w:ascii="Arial" w:hAnsi="Arial" w:cs="Arial"/>
          <w:sz w:val="27"/>
          <w:szCs w:val="27"/>
        </w:rPr>
        <w:t>It is recommended, to have the completed documents reviewed by a licensed est</w:t>
      </w:r>
      <w:r>
        <w:rPr>
          <w:rFonts w:ascii="Arial" w:hAnsi="Arial" w:cs="Arial"/>
          <w:sz w:val="27"/>
          <w:szCs w:val="27"/>
        </w:rPr>
        <w:t>ate attorney in Alabama.</w:t>
      </w:r>
    </w:p>
    <w:p w14:paraId="78DA7389" w14:textId="77777777" w:rsidR="00FF2F8B" w:rsidRDefault="00FF2F8B">
      <w:pPr>
        <w:rPr>
          <w:rFonts w:ascii="Arial" w:hAnsi="Arial" w:cs="Arial"/>
          <w:sz w:val="27"/>
          <w:szCs w:val="27"/>
        </w:rPr>
      </w:pPr>
    </w:p>
    <w:sectPr w:rsidR="00FF2F8B">
      <w:footerReference w:type="default" r:id="rId3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FAB4B" w14:textId="77777777" w:rsidR="00A9662C" w:rsidRDefault="00A9662C">
      <w:r>
        <w:separator/>
      </w:r>
    </w:p>
  </w:endnote>
  <w:endnote w:type="continuationSeparator" w:id="0">
    <w:p w14:paraId="34A50010" w14:textId="77777777" w:rsidR="00A9662C" w:rsidRDefault="00A9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518F5" w14:textId="77777777" w:rsidR="00A43ED0" w:rsidRDefault="00A9662C">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78A8823D" wp14:editId="73996541">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2A41D7D6" w14:textId="77777777" w:rsidR="00A43ED0" w:rsidRDefault="00A9662C">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78A8823D"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" filled="f" stroked="f">
              <v:textbox style="mso-fit-shape-to-text:t" inset="0,0,0,0">
                <w:txbxContent>
                  <w:p w14:paraId="2A41D7D6" w14:textId="77777777" w:rsidR="00A43ED0" w:rsidRDefault="00A9662C">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ECE5BA2" wp14:editId="224A6C75">
          <wp:extent cx="254002" cy="254002"/>
          <wp:effectExtent l="0" t="0" r="0" b="0"/>
          <wp:docPr id="2"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8E802" w14:textId="77777777" w:rsidR="00A9662C" w:rsidRDefault="00A9662C">
      <w:r>
        <w:rPr>
          <w:color w:val="000000"/>
        </w:rPr>
        <w:separator/>
      </w:r>
    </w:p>
  </w:footnote>
  <w:footnote w:type="continuationSeparator" w:id="0">
    <w:p w14:paraId="30C453FF" w14:textId="77777777" w:rsidR="00A9662C" w:rsidRDefault="00A966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72951"/>
    <w:multiLevelType w:val="multilevel"/>
    <w:tmpl w:val="6B96C3C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37A871E8"/>
    <w:multiLevelType w:val="multilevel"/>
    <w:tmpl w:val="474A476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3A754E9C"/>
    <w:multiLevelType w:val="multilevel"/>
    <w:tmpl w:val="045EDED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54CD143B"/>
    <w:multiLevelType w:val="multilevel"/>
    <w:tmpl w:val="B67417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6FBD6F47"/>
    <w:multiLevelType w:val="multilevel"/>
    <w:tmpl w:val="71E00F1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F2F8B"/>
    <w:rsid w:val="008A56A8"/>
    <w:rsid w:val="00A9662C"/>
    <w:rsid w:val="00C4721A"/>
    <w:rsid w:val="00FF2F8B"/>
    <w:rsid w:val="00FF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40C605"/>
  <w15:docId w15:val="{F224302D-E1DB-8241-86D3-3C71614F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uiPriority w:val="9"/>
    <w:qFormat/>
    <w:pPr>
      <w:spacing w:before="100" w:after="100"/>
      <w:outlineLvl w:val="0"/>
    </w:pPr>
    <w:rPr>
      <w:rFonts w:ascii="Times New Roman" w:eastAsia="Times New Roman" w:hAnsi="Times New Roman"/>
      <w:b/>
      <w:bCs/>
      <w:kern w:val="3"/>
      <w:sz w:val="48"/>
      <w:szCs w:val="48"/>
    </w:rPr>
  </w:style>
  <w:style w:type="paragraph" w:styleId="Heading3">
    <w:name w:val="heading 3"/>
    <w:basedOn w:val="Normal"/>
    <w:uiPriority w:val="9"/>
    <w:unhideWhenUsed/>
    <w:qFormat/>
    <w:pPr>
      <w:spacing w:before="100" w:after="100"/>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kern w:val="3"/>
      <w:sz w:val="48"/>
      <w:szCs w:val="48"/>
    </w:rPr>
  </w:style>
  <w:style w:type="character" w:customStyle="1" w:styleId="Heading3Char">
    <w:name w:val="Heading 3 Char"/>
    <w:basedOn w:val="DefaultParagraphFont"/>
    <w:rPr>
      <w:rFonts w:ascii="Times New Roman" w:eastAsia="Times New Roman" w:hAnsi="Times New Roman" w:cs="Times New Roman"/>
      <w:b/>
      <w:bCs/>
      <w:sz w:val="27"/>
      <w:szCs w:val="27"/>
    </w:r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Hyperlink">
    <w:name w:val="Hyperlink"/>
    <w:basedOn w:val="DefaultParagraphFont"/>
    <w:rPr>
      <w:color w:val="0000FF"/>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alisondb.legislature.state.al.us/alison/codeofalabama/1975/26-1A-206.htm" TargetMode="External"/><Relationship Id="rId18" Type="http://schemas.openxmlformats.org/officeDocument/2006/relationships/hyperlink" Target="http://alisondb.legislature.state.al.us/alison/codeofalabama/1975/26-1A-211.htm" TargetMode="External"/><Relationship Id="rId26" Type="http://schemas.openxmlformats.org/officeDocument/2006/relationships/hyperlink" Target="https://eforms.com/wills/alabama-last-will-and-testament-template/" TargetMode="External"/><Relationship Id="rId3" Type="http://schemas.openxmlformats.org/officeDocument/2006/relationships/settings" Target="settings.xml"/><Relationship Id="rId21" Type="http://schemas.openxmlformats.org/officeDocument/2006/relationships/hyperlink" Target="http://alisondb.legislature.state.al.us/alison/codeofalabama/1975/26-1A-214.htm" TargetMode="External"/><Relationship Id="rId7" Type="http://schemas.openxmlformats.org/officeDocument/2006/relationships/hyperlink" Target="https://eforms.com/power-of-attorney/al/alabama-medical-power-of-attorney-advance-directive/" TargetMode="External"/><Relationship Id="rId12" Type="http://schemas.openxmlformats.org/officeDocument/2006/relationships/hyperlink" Target="http://alisondb.legislature.state.al.us/alison/codeofalabama/1975/26-1A-205.htm" TargetMode="External"/><Relationship Id="rId17" Type="http://schemas.openxmlformats.org/officeDocument/2006/relationships/hyperlink" Target="http://alisondb.legislature.state.al.us/alison/codeofalabama/1975/26-1A-210.htm" TargetMode="External"/><Relationship Id="rId25" Type="http://schemas.openxmlformats.org/officeDocument/2006/relationships/hyperlink" Target="https://eforms.com/estate-planning/current-assets-lis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lisondb.legislature.state.al.us/alison/codeofalabama/1975/26-1A-209.htm" TargetMode="External"/><Relationship Id="rId20" Type="http://schemas.openxmlformats.org/officeDocument/2006/relationships/hyperlink" Target="http://alisondb.legislature.state.al.us/alison/codeofalabama/1975/26-1A-213.htm" TargetMode="External"/><Relationship Id="rId29" Type="http://schemas.openxmlformats.org/officeDocument/2006/relationships/hyperlink" Target="http://alisondb.legislature.state.al.us/alison/codeofalabama/1975/19-3B-1202.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lisondb.legislature.state.al.us/alison/codeofalabama/1975/26-1A-204.htm" TargetMode="External"/><Relationship Id="rId24" Type="http://schemas.openxmlformats.org/officeDocument/2006/relationships/hyperlink" Target="http://alisondb.legislature.state.al.us/alison/codeofalabama/1975/26-1A-217.ht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alisondb.legislature.state.al.us/alison/codeofalabama/1975/26-1A-208.htm" TargetMode="External"/><Relationship Id="rId23" Type="http://schemas.openxmlformats.org/officeDocument/2006/relationships/hyperlink" Target="http://alisondb.legislature.state.al.us/alison/codeofalabama/1975/26-1A-216.htm" TargetMode="External"/><Relationship Id="rId28" Type="http://schemas.openxmlformats.org/officeDocument/2006/relationships/hyperlink" Target="https://eforms.com/living-trust/al/alabama-revocable-living-trust-form/" TargetMode="External"/><Relationship Id="rId10" Type="http://schemas.openxmlformats.org/officeDocument/2006/relationships/hyperlink" Target="http://alisondb.legislature.state.al.us/alison/codeofalabama/1975/26-1A-105.htm" TargetMode="External"/><Relationship Id="rId19" Type="http://schemas.openxmlformats.org/officeDocument/2006/relationships/hyperlink" Target="http://alisondb.legislature.state.al.us/alison/codeofalabama/1975/26-1A-212.ht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forms.com/power-of-attorney/al/alabama-durable-power-of-attorney/" TargetMode="External"/><Relationship Id="rId14" Type="http://schemas.openxmlformats.org/officeDocument/2006/relationships/hyperlink" Target="http://alisondb.legislature.state.al.us/alison/codeofalabama/1975/26-1A-207.htm" TargetMode="External"/><Relationship Id="rId22" Type="http://schemas.openxmlformats.org/officeDocument/2006/relationships/hyperlink" Target="http://alisondb.legislature.state.al.us/alison/codeofalabama/1975/26-1A-215.htm" TargetMode="External"/><Relationship Id="rId27" Type="http://schemas.openxmlformats.org/officeDocument/2006/relationships/hyperlink" Target="http://alisondb.legislature.state.al.us/alison/codeofalabama/1975/43-8-131.htm" TargetMode="External"/><Relationship Id="rId30" Type="http://schemas.openxmlformats.org/officeDocument/2006/relationships/hyperlink" Target="https://eforms.com/wills/self-proving-affidavit/al/" TargetMode="External"/><Relationship Id="rId8" Type="http://schemas.openxmlformats.org/officeDocument/2006/relationships/hyperlink" Target="http://alisondb.legislature.state.al.us/alison/codeofalabama/1975/22-8A-4.ht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5841</Characters>
  <Application>Microsoft Office Word</Application>
  <DocSecurity>0</DocSecurity>
  <Lines>48</Lines>
  <Paragraphs>13</Paragraphs>
  <ScaleCrop>false</ScaleCrop>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Estate Planning Checklist</dc:title>
  <dc:subject/>
  <dc:creator>eForms</dc:creator>
  <dc:description/>
  <cp:lastModifiedBy>Joseph Gendron</cp:lastModifiedBy>
  <cp:revision>3</cp:revision>
  <dcterms:created xsi:type="dcterms:W3CDTF">2018-11-16T02:54:00Z</dcterms:created>
  <dcterms:modified xsi:type="dcterms:W3CDTF">2018-11-16T02:55:00Z</dcterms:modified>
</cp:coreProperties>
</file>