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2CCDB" w14:textId="2ED990B4" w:rsidR="00BF757D" w:rsidRPr="00F3581B" w:rsidRDefault="00BF757D" w:rsidP="00BF757D">
      <w:pPr>
        <w:spacing w:before="140" w:after="140"/>
        <w:jc w:val="center"/>
        <w:rPr>
          <w:rFonts w:ascii="Arial" w:eastAsia="Times New Roman" w:hAnsi="Arial" w:cs="Arial"/>
          <w:b/>
          <w:bCs/>
          <w:kern w:val="36"/>
          <w:sz w:val="36"/>
          <w:szCs w:val="36"/>
          <w:lang w:eastAsia="zh-CN"/>
        </w:rPr>
      </w:pPr>
      <w:r w:rsidRPr="00F3581B">
        <w:rPr>
          <w:rFonts w:ascii="Arial" w:eastAsia="Times New Roman" w:hAnsi="Arial" w:cs="Arial"/>
          <w:b/>
          <w:bCs/>
          <w:kern w:val="36"/>
          <w:sz w:val="36"/>
          <w:szCs w:val="36"/>
          <w:lang w:eastAsia="zh-CN"/>
        </w:rPr>
        <w:t>DELAWARE ESTATE PLANNING CHECKLIST</w:t>
      </w:r>
    </w:p>
    <w:p w14:paraId="6B910422" w14:textId="77777777" w:rsidR="00BF757D" w:rsidRPr="00F3581B" w:rsidRDefault="00BF757D" w:rsidP="00BF757D">
      <w:pPr>
        <w:spacing w:before="140" w:after="140"/>
        <w:jc w:val="center"/>
        <w:rPr>
          <w:rFonts w:ascii="Arial" w:eastAsia="Times New Roman" w:hAnsi="Arial" w:cs="Arial"/>
          <w:b/>
          <w:bCs/>
          <w:kern w:val="36"/>
          <w:sz w:val="27"/>
          <w:szCs w:val="27"/>
          <w:lang w:eastAsia="zh-CN"/>
        </w:rPr>
      </w:pPr>
    </w:p>
    <w:p w14:paraId="29536D69" w14:textId="77777777" w:rsidR="00385BDF" w:rsidRPr="00385BDF" w:rsidRDefault="00385BDF" w:rsidP="00385BDF">
      <w:pPr>
        <w:shd w:val="clear" w:color="auto" w:fill="FFFFFF"/>
        <w:spacing w:after="240"/>
        <w:rPr>
          <w:rFonts w:ascii="Arial" w:hAnsi="Arial" w:cs="Arial"/>
          <w:color w:val="252525"/>
          <w:sz w:val="27"/>
          <w:szCs w:val="27"/>
          <w:lang w:eastAsia="zh-CN"/>
        </w:rPr>
      </w:pPr>
      <w:r w:rsidRPr="00385BDF">
        <w:rPr>
          <w:rFonts w:ascii="Arial" w:hAnsi="Arial" w:cs="Arial"/>
          <w:color w:val="252525"/>
          <w:sz w:val="27"/>
          <w:szCs w:val="27"/>
          <w:lang w:eastAsia="zh-CN"/>
        </w:rPr>
        <w:t>By completing the guide below, Delaware residents can be certain that their estate will be transferred according to their preferences when they die while also ensuring the security of their well-being during medical emergencies. Due to the critical nature of the estate planning documents, individuals are advised to seek legal assistance before signing any paperwork.</w:t>
      </w:r>
    </w:p>
    <w:p w14:paraId="0099276C" w14:textId="77777777" w:rsidR="00385BDF" w:rsidRPr="00385BDF" w:rsidRDefault="00385BDF" w:rsidP="00EC391B">
      <w:pPr>
        <w:shd w:val="clear" w:color="auto" w:fill="FFFFFF"/>
        <w:spacing w:before="200" w:after="200" w:line="360" w:lineRule="atLeast"/>
        <w:outlineLvl w:val="2"/>
        <w:rPr>
          <w:rFonts w:ascii="Arial" w:eastAsia="Times New Roman" w:hAnsi="Arial" w:cs="Arial"/>
          <w:b/>
          <w:bCs/>
          <w:color w:val="252525"/>
          <w:sz w:val="32"/>
          <w:szCs w:val="32"/>
          <w:lang w:eastAsia="zh-CN"/>
        </w:rPr>
      </w:pPr>
      <w:r w:rsidRPr="00385BDF">
        <w:rPr>
          <w:rFonts w:ascii="Arial" w:eastAsia="Times New Roman" w:hAnsi="Arial" w:cs="Arial"/>
          <w:b/>
          <w:bCs/>
          <w:color w:val="252525"/>
          <w:sz w:val="32"/>
          <w:szCs w:val="32"/>
          <w:lang w:eastAsia="zh-CN"/>
        </w:rPr>
        <w:t>Step 1 – Elect a Health Care Agent</w:t>
      </w:r>
    </w:p>
    <w:p w14:paraId="0E89F849" w14:textId="77777777" w:rsidR="00385BDF" w:rsidRPr="00385BDF" w:rsidRDefault="00385BDF" w:rsidP="00EC391B">
      <w:pPr>
        <w:shd w:val="clear" w:color="auto" w:fill="FFFFFF"/>
        <w:spacing w:before="200" w:after="200"/>
        <w:rPr>
          <w:rFonts w:ascii="Arial" w:hAnsi="Arial" w:cs="Arial"/>
          <w:color w:val="252525"/>
          <w:sz w:val="27"/>
          <w:szCs w:val="27"/>
          <w:lang w:eastAsia="zh-CN"/>
        </w:rPr>
      </w:pPr>
      <w:r w:rsidRPr="00385BDF">
        <w:rPr>
          <w:rFonts w:ascii="Arial" w:hAnsi="Arial" w:cs="Arial"/>
          <w:color w:val="252525"/>
          <w:sz w:val="27"/>
          <w:szCs w:val="27"/>
          <w:lang w:eastAsia="zh-CN"/>
        </w:rPr>
        <w:t>Delaware residents should begin the estate planning process by nominating a </w:t>
      </w:r>
      <w:r w:rsidRPr="00385BDF">
        <w:rPr>
          <w:rFonts w:ascii="Arial" w:hAnsi="Arial" w:cs="Arial"/>
          <w:b/>
          <w:bCs/>
          <w:color w:val="252525"/>
          <w:sz w:val="27"/>
          <w:szCs w:val="27"/>
          <w:lang w:eastAsia="zh-CN"/>
        </w:rPr>
        <w:t>health care agent</w:t>
      </w:r>
      <w:r w:rsidRPr="00385BDF">
        <w:rPr>
          <w:rFonts w:ascii="Arial" w:hAnsi="Arial" w:cs="Arial"/>
          <w:color w:val="252525"/>
          <w:sz w:val="27"/>
          <w:szCs w:val="27"/>
          <w:lang w:eastAsia="zh-CN"/>
        </w:rPr>
        <w:t> (a.k.a. “health care surrogate” or “health care proxy”). A health care agent is an individual who is given legal authority to speak on behalf of the principal regarding the administration of medical treatments and health care when the principal has become too incapacitated to make decisions on their own. Because the agent’s role can significantly affect the principal’s well-being, the individual chosen should be someone the principal considers trustworthy and responsible.</w:t>
      </w:r>
    </w:p>
    <w:p w14:paraId="5E06B5C7" w14:textId="77777777" w:rsidR="00385BDF" w:rsidRPr="00385BDF" w:rsidRDefault="00385BDF" w:rsidP="00EC391B">
      <w:pPr>
        <w:shd w:val="clear" w:color="auto" w:fill="FFFFFF"/>
        <w:spacing w:before="200" w:after="200"/>
        <w:rPr>
          <w:rFonts w:ascii="Arial" w:hAnsi="Arial" w:cs="Arial"/>
          <w:color w:val="252525"/>
          <w:sz w:val="27"/>
          <w:szCs w:val="27"/>
          <w:lang w:eastAsia="zh-CN"/>
        </w:rPr>
      </w:pPr>
      <w:hyperlink r:id="rId7" w:history="1">
        <w:r w:rsidRPr="00385BDF">
          <w:rPr>
            <w:rFonts w:ascii="Arial" w:hAnsi="Arial" w:cs="Arial"/>
            <w:color w:val="008CDD"/>
            <w:sz w:val="27"/>
            <w:szCs w:val="27"/>
            <w:lang w:eastAsia="zh-CN"/>
          </w:rPr>
          <w:t>Advanced Health Care Directive</w:t>
        </w:r>
      </w:hyperlink>
      <w:r w:rsidRPr="00385BDF">
        <w:rPr>
          <w:rFonts w:ascii="Arial" w:hAnsi="Arial" w:cs="Arial"/>
          <w:color w:val="252525"/>
          <w:sz w:val="27"/>
          <w:szCs w:val="27"/>
          <w:lang w:eastAsia="zh-CN"/>
        </w:rPr>
        <w:t> – The primary function of this form is to specify the principal’s end-of-life instructions and to appoint a health care agent.</w:t>
      </w:r>
    </w:p>
    <w:p w14:paraId="42786D8B" w14:textId="77777777" w:rsidR="00385BDF" w:rsidRPr="00385BDF" w:rsidRDefault="00385BDF" w:rsidP="00EC391B">
      <w:pPr>
        <w:numPr>
          <w:ilvl w:val="0"/>
          <w:numId w:val="17"/>
        </w:numPr>
        <w:shd w:val="clear" w:color="auto" w:fill="FFFFFF"/>
        <w:spacing w:line="300" w:lineRule="atLeast"/>
        <w:ind w:left="375" w:hanging="357"/>
        <w:rPr>
          <w:rFonts w:ascii="Arial" w:eastAsia="Times New Roman" w:hAnsi="Arial" w:cs="Arial"/>
          <w:color w:val="252525"/>
          <w:sz w:val="27"/>
          <w:szCs w:val="27"/>
          <w:lang w:eastAsia="zh-CN"/>
        </w:rPr>
      </w:pPr>
      <w:r w:rsidRPr="00385BDF">
        <w:rPr>
          <w:rFonts w:ascii="Arial" w:eastAsia="Times New Roman" w:hAnsi="Arial" w:cs="Arial"/>
          <w:b/>
          <w:bCs/>
          <w:color w:val="252525"/>
          <w:sz w:val="27"/>
          <w:szCs w:val="27"/>
          <w:lang w:eastAsia="zh-CN"/>
        </w:rPr>
        <w:t>Signing Requirements </w:t>
      </w:r>
      <w:r w:rsidRPr="00385BDF">
        <w:rPr>
          <w:rFonts w:ascii="Arial" w:eastAsia="Times New Roman" w:hAnsi="Arial" w:cs="Arial"/>
          <w:color w:val="252525"/>
          <w:sz w:val="27"/>
          <w:szCs w:val="27"/>
          <w:lang w:eastAsia="zh-CN"/>
        </w:rPr>
        <w:t>(</w:t>
      </w:r>
      <w:hyperlink r:id="rId8" w:anchor="2503" w:tgtFrame="_blank" w:history="1">
        <w:r w:rsidRPr="00385BDF">
          <w:rPr>
            <w:rFonts w:ascii="Arial" w:eastAsia="Times New Roman" w:hAnsi="Arial" w:cs="Arial"/>
            <w:color w:val="008CDD"/>
            <w:sz w:val="27"/>
            <w:szCs w:val="27"/>
            <w:lang w:eastAsia="zh-CN"/>
          </w:rPr>
          <w:t>§ 2503</w:t>
        </w:r>
      </w:hyperlink>
      <w:r w:rsidRPr="00385BDF">
        <w:rPr>
          <w:rFonts w:ascii="Arial" w:eastAsia="Times New Roman" w:hAnsi="Arial" w:cs="Arial"/>
          <w:color w:val="252525"/>
          <w:sz w:val="27"/>
          <w:szCs w:val="27"/>
          <w:lang w:eastAsia="zh-CN"/>
        </w:rPr>
        <w:t>) – Must be signed by the principal in the presence of two (2) adult witnesses. Each witness must sign a statement indicating that they are not restricted from being a witness. To serve as a witness, the individual cannot:</w:t>
      </w:r>
    </w:p>
    <w:p w14:paraId="210F525A" w14:textId="77777777" w:rsidR="00385BDF" w:rsidRPr="00385BDF" w:rsidRDefault="00385BDF" w:rsidP="00EC391B">
      <w:pPr>
        <w:numPr>
          <w:ilvl w:val="1"/>
          <w:numId w:val="17"/>
        </w:numPr>
        <w:shd w:val="clear" w:color="auto" w:fill="FFFFFF"/>
        <w:spacing w:line="300" w:lineRule="atLeast"/>
        <w:ind w:left="750" w:hanging="357"/>
        <w:rPr>
          <w:rFonts w:ascii="Arial" w:eastAsia="Times New Roman" w:hAnsi="Arial" w:cs="Arial"/>
          <w:color w:val="252525"/>
          <w:sz w:val="27"/>
          <w:szCs w:val="27"/>
          <w:lang w:eastAsia="zh-CN"/>
        </w:rPr>
      </w:pPr>
      <w:r w:rsidRPr="00385BDF">
        <w:rPr>
          <w:rFonts w:ascii="Arial" w:eastAsia="Times New Roman" w:hAnsi="Arial" w:cs="Arial"/>
          <w:color w:val="252525"/>
          <w:sz w:val="27"/>
          <w:szCs w:val="27"/>
          <w:lang w:eastAsia="zh-CN"/>
        </w:rPr>
        <w:t>Be related to the principal by marriage, blood or adoption;</w:t>
      </w:r>
    </w:p>
    <w:p w14:paraId="63D70CE7" w14:textId="77777777" w:rsidR="00385BDF" w:rsidRPr="00385BDF" w:rsidRDefault="00385BDF" w:rsidP="00EC391B">
      <w:pPr>
        <w:numPr>
          <w:ilvl w:val="1"/>
          <w:numId w:val="17"/>
        </w:numPr>
        <w:shd w:val="clear" w:color="auto" w:fill="FFFFFF"/>
        <w:spacing w:line="300" w:lineRule="atLeast"/>
        <w:ind w:left="750" w:hanging="357"/>
        <w:rPr>
          <w:rFonts w:ascii="Arial" w:eastAsia="Times New Roman" w:hAnsi="Arial" w:cs="Arial"/>
          <w:color w:val="252525"/>
          <w:sz w:val="27"/>
          <w:szCs w:val="27"/>
          <w:lang w:eastAsia="zh-CN"/>
        </w:rPr>
      </w:pPr>
      <w:r w:rsidRPr="00385BDF">
        <w:rPr>
          <w:rFonts w:ascii="Arial" w:eastAsia="Times New Roman" w:hAnsi="Arial" w:cs="Arial"/>
          <w:color w:val="252525"/>
          <w:sz w:val="27"/>
          <w:szCs w:val="27"/>
          <w:lang w:eastAsia="zh-CN"/>
        </w:rPr>
        <w:t>Be entitled to receive any portion of the principal’s estate;</w:t>
      </w:r>
    </w:p>
    <w:p w14:paraId="4C16DB53" w14:textId="77777777" w:rsidR="00385BDF" w:rsidRPr="00385BDF" w:rsidRDefault="00385BDF" w:rsidP="00EC391B">
      <w:pPr>
        <w:numPr>
          <w:ilvl w:val="1"/>
          <w:numId w:val="17"/>
        </w:numPr>
        <w:shd w:val="clear" w:color="auto" w:fill="FFFFFF"/>
        <w:spacing w:line="300" w:lineRule="atLeast"/>
        <w:ind w:left="750" w:hanging="357"/>
        <w:rPr>
          <w:rFonts w:ascii="Arial" w:eastAsia="Times New Roman" w:hAnsi="Arial" w:cs="Arial"/>
          <w:color w:val="252525"/>
          <w:sz w:val="27"/>
          <w:szCs w:val="27"/>
          <w:lang w:eastAsia="zh-CN"/>
        </w:rPr>
      </w:pPr>
      <w:r w:rsidRPr="00385BDF">
        <w:rPr>
          <w:rFonts w:ascii="Arial" w:eastAsia="Times New Roman" w:hAnsi="Arial" w:cs="Arial"/>
          <w:color w:val="252525"/>
          <w:sz w:val="27"/>
          <w:szCs w:val="27"/>
          <w:lang w:eastAsia="zh-CN"/>
        </w:rPr>
        <w:t>Have a claim against the principal’s estate at the time the health care directive is executed;</w:t>
      </w:r>
    </w:p>
    <w:p w14:paraId="23E8DE17" w14:textId="77777777" w:rsidR="00385BDF" w:rsidRPr="00385BDF" w:rsidRDefault="00385BDF" w:rsidP="00EC391B">
      <w:pPr>
        <w:numPr>
          <w:ilvl w:val="1"/>
          <w:numId w:val="17"/>
        </w:numPr>
        <w:shd w:val="clear" w:color="auto" w:fill="FFFFFF"/>
        <w:spacing w:line="300" w:lineRule="atLeast"/>
        <w:ind w:left="750" w:hanging="357"/>
        <w:rPr>
          <w:rFonts w:ascii="Arial" w:eastAsia="Times New Roman" w:hAnsi="Arial" w:cs="Arial"/>
          <w:color w:val="252525"/>
          <w:sz w:val="27"/>
          <w:szCs w:val="27"/>
          <w:lang w:eastAsia="zh-CN"/>
        </w:rPr>
      </w:pPr>
      <w:r w:rsidRPr="00385BDF">
        <w:rPr>
          <w:rFonts w:ascii="Arial" w:eastAsia="Times New Roman" w:hAnsi="Arial" w:cs="Arial"/>
          <w:color w:val="252525"/>
          <w:sz w:val="27"/>
          <w:szCs w:val="27"/>
          <w:lang w:eastAsia="zh-CN"/>
        </w:rPr>
        <w:t>Have a direct responsibility for the principal’s medical care;</w:t>
      </w:r>
    </w:p>
    <w:p w14:paraId="379CD127" w14:textId="77777777" w:rsidR="00385BDF" w:rsidRPr="00385BDF" w:rsidRDefault="00385BDF" w:rsidP="00EC391B">
      <w:pPr>
        <w:numPr>
          <w:ilvl w:val="1"/>
          <w:numId w:val="17"/>
        </w:numPr>
        <w:shd w:val="clear" w:color="auto" w:fill="FFFFFF"/>
        <w:spacing w:line="300" w:lineRule="atLeast"/>
        <w:ind w:left="750" w:hanging="357"/>
        <w:rPr>
          <w:rFonts w:ascii="Arial" w:eastAsia="Times New Roman" w:hAnsi="Arial" w:cs="Arial"/>
          <w:color w:val="252525"/>
          <w:sz w:val="27"/>
          <w:szCs w:val="27"/>
          <w:lang w:eastAsia="zh-CN"/>
        </w:rPr>
      </w:pPr>
      <w:r w:rsidRPr="00385BDF">
        <w:rPr>
          <w:rFonts w:ascii="Arial" w:eastAsia="Times New Roman" w:hAnsi="Arial" w:cs="Arial"/>
          <w:color w:val="252525"/>
          <w:sz w:val="27"/>
          <w:szCs w:val="27"/>
          <w:lang w:eastAsia="zh-CN"/>
        </w:rPr>
        <w:t>Be an employee of or operate with or have a controlling interest in the health care facility where the principal is a resident or patient.</w:t>
      </w:r>
    </w:p>
    <w:p w14:paraId="161092DF" w14:textId="77777777" w:rsidR="00385BDF" w:rsidRPr="00385BDF" w:rsidRDefault="00385BDF" w:rsidP="00EC391B">
      <w:pPr>
        <w:shd w:val="clear" w:color="auto" w:fill="FFFFFF"/>
        <w:spacing w:before="200" w:after="200" w:line="360" w:lineRule="atLeast"/>
        <w:outlineLvl w:val="2"/>
        <w:rPr>
          <w:rFonts w:ascii="Arial" w:eastAsia="Times New Roman" w:hAnsi="Arial" w:cs="Arial"/>
          <w:b/>
          <w:bCs/>
          <w:color w:val="252525"/>
          <w:sz w:val="32"/>
          <w:szCs w:val="32"/>
          <w:lang w:eastAsia="zh-CN"/>
        </w:rPr>
      </w:pPr>
      <w:r w:rsidRPr="00385BDF">
        <w:rPr>
          <w:rFonts w:ascii="Arial" w:eastAsia="Times New Roman" w:hAnsi="Arial" w:cs="Arial"/>
          <w:b/>
          <w:bCs/>
          <w:color w:val="252525"/>
          <w:sz w:val="32"/>
          <w:szCs w:val="32"/>
          <w:lang w:eastAsia="zh-CN"/>
        </w:rPr>
        <w:t>Step 2 – Elect a Financial Agent</w:t>
      </w:r>
    </w:p>
    <w:p w14:paraId="14DF365A" w14:textId="77777777" w:rsidR="00385BDF" w:rsidRPr="00385BDF" w:rsidRDefault="00385BDF" w:rsidP="00EC391B">
      <w:pPr>
        <w:shd w:val="clear" w:color="auto" w:fill="FFFFFF"/>
        <w:spacing w:before="200" w:after="200"/>
        <w:rPr>
          <w:rFonts w:ascii="Arial" w:hAnsi="Arial" w:cs="Arial"/>
          <w:color w:val="252525"/>
          <w:sz w:val="27"/>
          <w:szCs w:val="27"/>
          <w:lang w:eastAsia="zh-CN"/>
        </w:rPr>
      </w:pPr>
      <w:r w:rsidRPr="00385BDF">
        <w:rPr>
          <w:rFonts w:ascii="Arial" w:hAnsi="Arial" w:cs="Arial"/>
          <w:color w:val="252525"/>
          <w:sz w:val="27"/>
          <w:szCs w:val="27"/>
          <w:lang w:eastAsia="zh-CN"/>
        </w:rPr>
        <w:t>A </w:t>
      </w:r>
      <w:r w:rsidRPr="00385BDF">
        <w:rPr>
          <w:rFonts w:ascii="Arial" w:hAnsi="Arial" w:cs="Arial"/>
          <w:b/>
          <w:bCs/>
          <w:color w:val="252525"/>
          <w:sz w:val="27"/>
          <w:szCs w:val="27"/>
          <w:lang w:eastAsia="zh-CN"/>
        </w:rPr>
        <w:t>financial agent </w:t>
      </w:r>
      <w:r w:rsidRPr="00385BDF">
        <w:rPr>
          <w:rFonts w:ascii="Arial" w:hAnsi="Arial" w:cs="Arial"/>
          <w:color w:val="252525"/>
          <w:sz w:val="27"/>
          <w:szCs w:val="27"/>
          <w:lang w:eastAsia="zh-CN"/>
        </w:rPr>
        <w:t xml:space="preserve">is similar to a health care agent in that the individual will be granted permission to act on the principal’s behalf when they are incapacitated and unable to make competent decisions. However, the authority bestowed upon the financial agent is limited to the management of </w:t>
      </w:r>
      <w:r w:rsidRPr="00385BDF">
        <w:rPr>
          <w:rFonts w:ascii="Arial" w:hAnsi="Arial" w:cs="Arial"/>
          <w:color w:val="252525"/>
          <w:sz w:val="27"/>
          <w:szCs w:val="27"/>
          <w:lang w:eastAsia="zh-CN"/>
        </w:rPr>
        <w:lastRenderedPageBreak/>
        <w:t>the principals’ finances. The principal should nominate their financial agent carefully as the individual they choose can make decisions which might greatly affect the value of their estate.</w:t>
      </w:r>
    </w:p>
    <w:p w14:paraId="5234DD28" w14:textId="77777777" w:rsidR="00385BDF" w:rsidRPr="00385BDF" w:rsidRDefault="00385BDF" w:rsidP="00EC391B">
      <w:pPr>
        <w:shd w:val="clear" w:color="auto" w:fill="FFFFFF"/>
        <w:spacing w:before="200" w:after="200"/>
        <w:rPr>
          <w:rFonts w:ascii="Arial" w:hAnsi="Arial" w:cs="Arial"/>
          <w:color w:val="252525"/>
          <w:sz w:val="27"/>
          <w:szCs w:val="27"/>
          <w:lang w:eastAsia="zh-CN"/>
        </w:rPr>
      </w:pPr>
      <w:hyperlink r:id="rId9" w:history="1">
        <w:r w:rsidRPr="00385BDF">
          <w:rPr>
            <w:rFonts w:ascii="Arial" w:hAnsi="Arial" w:cs="Arial"/>
            <w:color w:val="008CDD"/>
            <w:sz w:val="27"/>
            <w:szCs w:val="27"/>
            <w:lang w:eastAsia="zh-CN"/>
          </w:rPr>
          <w:t>Durable (Financial) Power of Attorney</w:t>
        </w:r>
      </w:hyperlink>
      <w:r w:rsidRPr="00385BDF">
        <w:rPr>
          <w:rFonts w:ascii="Arial" w:hAnsi="Arial" w:cs="Arial"/>
          <w:color w:val="252525"/>
          <w:sz w:val="27"/>
          <w:szCs w:val="27"/>
          <w:lang w:eastAsia="zh-CN"/>
        </w:rPr>
        <w:t> – Allows the principal to both nominate a financial agent and specify the scope of the agent’s authority.</w:t>
      </w:r>
    </w:p>
    <w:p w14:paraId="511525CA" w14:textId="77777777" w:rsidR="00385BDF" w:rsidRPr="00385BDF" w:rsidRDefault="00385BDF" w:rsidP="00EC391B">
      <w:pPr>
        <w:numPr>
          <w:ilvl w:val="0"/>
          <w:numId w:val="18"/>
        </w:numPr>
        <w:shd w:val="clear" w:color="auto" w:fill="FFFFFF"/>
        <w:spacing w:before="200" w:after="200" w:line="300" w:lineRule="atLeast"/>
        <w:ind w:left="375"/>
        <w:rPr>
          <w:rFonts w:ascii="Arial" w:eastAsia="Times New Roman" w:hAnsi="Arial" w:cs="Arial"/>
          <w:color w:val="252525"/>
          <w:sz w:val="27"/>
          <w:szCs w:val="27"/>
          <w:lang w:eastAsia="zh-CN"/>
        </w:rPr>
      </w:pPr>
      <w:r w:rsidRPr="00385BDF">
        <w:rPr>
          <w:rFonts w:ascii="Arial" w:eastAsia="Times New Roman" w:hAnsi="Arial" w:cs="Arial"/>
          <w:b/>
          <w:bCs/>
          <w:color w:val="252525"/>
          <w:sz w:val="27"/>
          <w:szCs w:val="27"/>
          <w:lang w:eastAsia="zh-CN"/>
        </w:rPr>
        <w:t>Signing Requirements </w:t>
      </w:r>
      <w:r w:rsidRPr="00385BDF">
        <w:rPr>
          <w:rFonts w:ascii="Arial" w:eastAsia="Times New Roman" w:hAnsi="Arial" w:cs="Arial"/>
          <w:color w:val="252525"/>
          <w:sz w:val="27"/>
          <w:szCs w:val="27"/>
          <w:lang w:eastAsia="zh-CN"/>
        </w:rPr>
        <w:t>(</w:t>
      </w:r>
      <w:hyperlink r:id="rId10" w:anchor="49A-105" w:tgtFrame="_blank" w:history="1">
        <w:r w:rsidRPr="00385BDF">
          <w:rPr>
            <w:rFonts w:ascii="Arial" w:eastAsia="Times New Roman" w:hAnsi="Arial" w:cs="Arial"/>
            <w:color w:val="008CDD"/>
            <w:sz w:val="27"/>
            <w:szCs w:val="27"/>
            <w:lang w:eastAsia="zh-CN"/>
          </w:rPr>
          <w:t>§ 49A-105</w:t>
        </w:r>
      </w:hyperlink>
      <w:r w:rsidRPr="00385BDF">
        <w:rPr>
          <w:rFonts w:ascii="Arial" w:eastAsia="Times New Roman" w:hAnsi="Arial" w:cs="Arial"/>
          <w:color w:val="252525"/>
          <w:sz w:val="27"/>
          <w:szCs w:val="27"/>
          <w:lang w:eastAsia="zh-CN"/>
        </w:rPr>
        <w:t>) – The principal’s signature must be given in the presence of a notary public and one (1) witness who is neither related to the principal by marriage, blood or adoption, nor entitled to receive any portion of the principal’s estate.</w:t>
      </w:r>
    </w:p>
    <w:p w14:paraId="3357A38E" w14:textId="77777777" w:rsidR="00385BDF" w:rsidRPr="00385BDF" w:rsidRDefault="00385BDF" w:rsidP="00EC391B">
      <w:pPr>
        <w:shd w:val="clear" w:color="auto" w:fill="FFFFFF"/>
        <w:rPr>
          <w:rFonts w:ascii="Arial" w:hAnsi="Arial" w:cs="Arial"/>
          <w:color w:val="252525"/>
          <w:sz w:val="27"/>
          <w:szCs w:val="27"/>
          <w:lang w:eastAsia="zh-CN"/>
        </w:rPr>
      </w:pPr>
      <w:r w:rsidRPr="00385BDF">
        <w:rPr>
          <w:rFonts w:ascii="Arial" w:hAnsi="Arial" w:cs="Arial"/>
          <w:b/>
          <w:bCs/>
          <w:color w:val="252525"/>
          <w:sz w:val="27"/>
          <w:szCs w:val="27"/>
          <w:lang w:eastAsia="zh-CN"/>
        </w:rPr>
        <w:t>Financial Powers Allowed</w:t>
      </w:r>
    </w:p>
    <w:p w14:paraId="442A4B03" w14:textId="77777777" w:rsidR="00385BDF" w:rsidRPr="00385BDF" w:rsidRDefault="00385BDF" w:rsidP="00EC391B">
      <w:pPr>
        <w:numPr>
          <w:ilvl w:val="0"/>
          <w:numId w:val="19"/>
        </w:numPr>
        <w:shd w:val="clear" w:color="auto" w:fill="FFFFFF"/>
        <w:spacing w:line="300" w:lineRule="atLeast"/>
        <w:ind w:left="375"/>
        <w:rPr>
          <w:rFonts w:ascii="Arial" w:eastAsia="Times New Roman" w:hAnsi="Arial" w:cs="Arial"/>
          <w:color w:val="252525"/>
          <w:sz w:val="27"/>
          <w:szCs w:val="27"/>
          <w:lang w:eastAsia="zh-CN"/>
        </w:rPr>
      </w:pPr>
      <w:r w:rsidRPr="00385BDF">
        <w:rPr>
          <w:rFonts w:ascii="Arial" w:eastAsia="Times New Roman" w:hAnsi="Arial" w:cs="Arial"/>
          <w:color w:val="252525"/>
          <w:sz w:val="27"/>
          <w:szCs w:val="27"/>
          <w:lang w:eastAsia="zh-CN"/>
        </w:rPr>
        <w:t>Real Property (</w:t>
      </w:r>
      <w:hyperlink r:id="rId11" w:anchor="49A-204" w:tgtFrame="_blank" w:history="1">
        <w:r w:rsidRPr="00385BDF">
          <w:rPr>
            <w:rFonts w:ascii="Arial" w:eastAsia="Times New Roman" w:hAnsi="Arial" w:cs="Arial"/>
            <w:color w:val="008CDD"/>
            <w:sz w:val="27"/>
            <w:szCs w:val="27"/>
            <w:lang w:eastAsia="zh-CN"/>
          </w:rPr>
          <w:t>§ 49A-204</w:t>
        </w:r>
      </w:hyperlink>
      <w:r w:rsidRPr="00385BDF">
        <w:rPr>
          <w:rFonts w:ascii="Arial" w:eastAsia="Times New Roman" w:hAnsi="Arial" w:cs="Arial"/>
          <w:color w:val="252525"/>
          <w:sz w:val="27"/>
          <w:szCs w:val="27"/>
          <w:lang w:eastAsia="zh-CN"/>
        </w:rPr>
        <w:t>);</w:t>
      </w:r>
    </w:p>
    <w:p w14:paraId="258C966C" w14:textId="77777777" w:rsidR="00385BDF" w:rsidRPr="00385BDF" w:rsidRDefault="00385BDF" w:rsidP="00EC391B">
      <w:pPr>
        <w:numPr>
          <w:ilvl w:val="0"/>
          <w:numId w:val="19"/>
        </w:numPr>
        <w:shd w:val="clear" w:color="auto" w:fill="FFFFFF"/>
        <w:spacing w:line="300" w:lineRule="atLeast"/>
        <w:ind w:left="375"/>
        <w:rPr>
          <w:rFonts w:ascii="Arial" w:eastAsia="Times New Roman" w:hAnsi="Arial" w:cs="Arial"/>
          <w:color w:val="252525"/>
          <w:sz w:val="27"/>
          <w:szCs w:val="27"/>
          <w:lang w:eastAsia="zh-CN"/>
        </w:rPr>
      </w:pPr>
      <w:r w:rsidRPr="00385BDF">
        <w:rPr>
          <w:rFonts w:ascii="Arial" w:eastAsia="Times New Roman" w:hAnsi="Arial" w:cs="Arial"/>
          <w:color w:val="252525"/>
          <w:sz w:val="27"/>
          <w:szCs w:val="27"/>
          <w:lang w:eastAsia="zh-CN"/>
        </w:rPr>
        <w:t>Tangible Personal Property (</w:t>
      </w:r>
      <w:hyperlink r:id="rId12" w:anchor="49A-205" w:tgtFrame="_blank" w:history="1">
        <w:r w:rsidRPr="00385BDF">
          <w:rPr>
            <w:rFonts w:ascii="Arial" w:eastAsia="Times New Roman" w:hAnsi="Arial" w:cs="Arial"/>
            <w:color w:val="008CDD"/>
            <w:sz w:val="27"/>
            <w:szCs w:val="27"/>
            <w:lang w:eastAsia="zh-CN"/>
          </w:rPr>
          <w:t>§ 49A-205</w:t>
        </w:r>
      </w:hyperlink>
      <w:r w:rsidRPr="00385BDF">
        <w:rPr>
          <w:rFonts w:ascii="Arial" w:eastAsia="Times New Roman" w:hAnsi="Arial" w:cs="Arial"/>
          <w:color w:val="252525"/>
          <w:sz w:val="27"/>
          <w:szCs w:val="27"/>
          <w:lang w:eastAsia="zh-CN"/>
        </w:rPr>
        <w:t>);</w:t>
      </w:r>
    </w:p>
    <w:p w14:paraId="1D736908" w14:textId="77777777" w:rsidR="00385BDF" w:rsidRPr="00385BDF" w:rsidRDefault="00385BDF" w:rsidP="00EC391B">
      <w:pPr>
        <w:numPr>
          <w:ilvl w:val="0"/>
          <w:numId w:val="19"/>
        </w:numPr>
        <w:shd w:val="clear" w:color="auto" w:fill="FFFFFF"/>
        <w:spacing w:line="300" w:lineRule="atLeast"/>
        <w:ind w:left="375"/>
        <w:rPr>
          <w:rFonts w:ascii="Arial" w:eastAsia="Times New Roman" w:hAnsi="Arial" w:cs="Arial"/>
          <w:color w:val="252525"/>
          <w:sz w:val="27"/>
          <w:szCs w:val="27"/>
          <w:lang w:eastAsia="zh-CN"/>
        </w:rPr>
      </w:pPr>
      <w:r w:rsidRPr="00385BDF">
        <w:rPr>
          <w:rFonts w:ascii="Arial" w:eastAsia="Times New Roman" w:hAnsi="Arial" w:cs="Arial"/>
          <w:color w:val="252525"/>
          <w:sz w:val="27"/>
          <w:szCs w:val="27"/>
          <w:lang w:eastAsia="zh-CN"/>
        </w:rPr>
        <w:t>Stocks and Bonds (</w:t>
      </w:r>
      <w:hyperlink r:id="rId13" w:anchor="49A-206" w:tgtFrame="_blank" w:history="1">
        <w:r w:rsidRPr="00385BDF">
          <w:rPr>
            <w:rFonts w:ascii="Arial" w:eastAsia="Times New Roman" w:hAnsi="Arial" w:cs="Arial"/>
            <w:color w:val="008CDD"/>
            <w:sz w:val="27"/>
            <w:szCs w:val="27"/>
            <w:lang w:eastAsia="zh-CN"/>
          </w:rPr>
          <w:t>§ 49A-206</w:t>
        </w:r>
      </w:hyperlink>
      <w:r w:rsidRPr="00385BDF">
        <w:rPr>
          <w:rFonts w:ascii="Arial" w:eastAsia="Times New Roman" w:hAnsi="Arial" w:cs="Arial"/>
          <w:color w:val="252525"/>
          <w:sz w:val="27"/>
          <w:szCs w:val="27"/>
          <w:lang w:eastAsia="zh-CN"/>
        </w:rPr>
        <w:t>);</w:t>
      </w:r>
    </w:p>
    <w:p w14:paraId="6F91096E" w14:textId="77777777" w:rsidR="00385BDF" w:rsidRPr="00385BDF" w:rsidRDefault="00385BDF" w:rsidP="00EC391B">
      <w:pPr>
        <w:numPr>
          <w:ilvl w:val="0"/>
          <w:numId w:val="19"/>
        </w:numPr>
        <w:shd w:val="clear" w:color="auto" w:fill="FFFFFF"/>
        <w:spacing w:line="300" w:lineRule="atLeast"/>
        <w:ind w:left="375"/>
        <w:rPr>
          <w:rFonts w:ascii="Arial" w:eastAsia="Times New Roman" w:hAnsi="Arial" w:cs="Arial"/>
          <w:color w:val="252525"/>
          <w:sz w:val="27"/>
          <w:szCs w:val="27"/>
          <w:lang w:eastAsia="zh-CN"/>
        </w:rPr>
      </w:pPr>
      <w:r w:rsidRPr="00385BDF">
        <w:rPr>
          <w:rFonts w:ascii="Arial" w:eastAsia="Times New Roman" w:hAnsi="Arial" w:cs="Arial"/>
          <w:color w:val="252525"/>
          <w:sz w:val="27"/>
          <w:szCs w:val="27"/>
          <w:lang w:eastAsia="zh-CN"/>
        </w:rPr>
        <w:t>Commodities and Options (</w:t>
      </w:r>
      <w:hyperlink r:id="rId14" w:anchor="49A-207" w:tgtFrame="_blank" w:history="1">
        <w:r w:rsidRPr="00385BDF">
          <w:rPr>
            <w:rFonts w:ascii="Arial" w:eastAsia="Times New Roman" w:hAnsi="Arial" w:cs="Arial"/>
            <w:color w:val="008CDD"/>
            <w:sz w:val="27"/>
            <w:szCs w:val="27"/>
            <w:lang w:eastAsia="zh-CN"/>
          </w:rPr>
          <w:t>§ 49A-207</w:t>
        </w:r>
      </w:hyperlink>
      <w:r w:rsidRPr="00385BDF">
        <w:rPr>
          <w:rFonts w:ascii="Arial" w:eastAsia="Times New Roman" w:hAnsi="Arial" w:cs="Arial"/>
          <w:color w:val="252525"/>
          <w:sz w:val="27"/>
          <w:szCs w:val="27"/>
          <w:lang w:eastAsia="zh-CN"/>
        </w:rPr>
        <w:t>);</w:t>
      </w:r>
    </w:p>
    <w:p w14:paraId="2A23C3A3" w14:textId="77777777" w:rsidR="00385BDF" w:rsidRPr="00385BDF" w:rsidRDefault="00385BDF" w:rsidP="00EC391B">
      <w:pPr>
        <w:numPr>
          <w:ilvl w:val="0"/>
          <w:numId w:val="19"/>
        </w:numPr>
        <w:shd w:val="clear" w:color="auto" w:fill="FFFFFF"/>
        <w:spacing w:line="300" w:lineRule="atLeast"/>
        <w:ind w:left="375"/>
        <w:rPr>
          <w:rFonts w:ascii="Arial" w:eastAsia="Times New Roman" w:hAnsi="Arial" w:cs="Arial"/>
          <w:color w:val="252525"/>
          <w:sz w:val="27"/>
          <w:szCs w:val="27"/>
          <w:lang w:eastAsia="zh-CN"/>
        </w:rPr>
      </w:pPr>
      <w:r w:rsidRPr="00385BDF">
        <w:rPr>
          <w:rFonts w:ascii="Arial" w:eastAsia="Times New Roman" w:hAnsi="Arial" w:cs="Arial"/>
          <w:color w:val="252525"/>
          <w:sz w:val="27"/>
          <w:szCs w:val="27"/>
          <w:lang w:eastAsia="zh-CN"/>
        </w:rPr>
        <w:t>Banks and Other Financial Institutions (</w:t>
      </w:r>
      <w:hyperlink r:id="rId15" w:anchor="49A-208" w:tgtFrame="_blank" w:history="1">
        <w:r w:rsidRPr="00385BDF">
          <w:rPr>
            <w:rFonts w:ascii="Arial" w:eastAsia="Times New Roman" w:hAnsi="Arial" w:cs="Arial"/>
            <w:color w:val="008CDD"/>
            <w:sz w:val="27"/>
            <w:szCs w:val="27"/>
            <w:lang w:eastAsia="zh-CN"/>
          </w:rPr>
          <w:t>§ 49A-208</w:t>
        </w:r>
      </w:hyperlink>
      <w:r w:rsidRPr="00385BDF">
        <w:rPr>
          <w:rFonts w:ascii="Arial" w:eastAsia="Times New Roman" w:hAnsi="Arial" w:cs="Arial"/>
          <w:color w:val="252525"/>
          <w:sz w:val="27"/>
          <w:szCs w:val="27"/>
          <w:lang w:eastAsia="zh-CN"/>
        </w:rPr>
        <w:t>);</w:t>
      </w:r>
    </w:p>
    <w:p w14:paraId="391515AA" w14:textId="77777777" w:rsidR="00385BDF" w:rsidRPr="00385BDF" w:rsidRDefault="00385BDF" w:rsidP="00EC391B">
      <w:pPr>
        <w:numPr>
          <w:ilvl w:val="0"/>
          <w:numId w:val="19"/>
        </w:numPr>
        <w:shd w:val="clear" w:color="auto" w:fill="FFFFFF"/>
        <w:spacing w:line="300" w:lineRule="atLeast"/>
        <w:ind w:left="375"/>
        <w:rPr>
          <w:rFonts w:ascii="Arial" w:eastAsia="Times New Roman" w:hAnsi="Arial" w:cs="Arial"/>
          <w:color w:val="252525"/>
          <w:sz w:val="27"/>
          <w:szCs w:val="27"/>
          <w:lang w:eastAsia="zh-CN"/>
        </w:rPr>
      </w:pPr>
      <w:r w:rsidRPr="00385BDF">
        <w:rPr>
          <w:rFonts w:ascii="Arial" w:eastAsia="Times New Roman" w:hAnsi="Arial" w:cs="Arial"/>
          <w:color w:val="252525"/>
          <w:sz w:val="27"/>
          <w:szCs w:val="27"/>
          <w:lang w:eastAsia="zh-CN"/>
        </w:rPr>
        <w:t>Operation of Entity or Business (</w:t>
      </w:r>
      <w:hyperlink r:id="rId16" w:anchor="49A-209" w:tgtFrame="_blank" w:history="1">
        <w:r w:rsidRPr="00385BDF">
          <w:rPr>
            <w:rFonts w:ascii="Arial" w:eastAsia="Times New Roman" w:hAnsi="Arial" w:cs="Arial"/>
            <w:color w:val="008CDD"/>
            <w:sz w:val="27"/>
            <w:szCs w:val="27"/>
            <w:lang w:eastAsia="zh-CN"/>
          </w:rPr>
          <w:t>§ 49A-209</w:t>
        </w:r>
      </w:hyperlink>
      <w:r w:rsidRPr="00385BDF">
        <w:rPr>
          <w:rFonts w:ascii="Arial" w:eastAsia="Times New Roman" w:hAnsi="Arial" w:cs="Arial"/>
          <w:color w:val="252525"/>
          <w:sz w:val="27"/>
          <w:szCs w:val="27"/>
          <w:lang w:eastAsia="zh-CN"/>
        </w:rPr>
        <w:t>);</w:t>
      </w:r>
    </w:p>
    <w:p w14:paraId="78ECDF3D" w14:textId="77777777" w:rsidR="00385BDF" w:rsidRPr="00385BDF" w:rsidRDefault="00385BDF" w:rsidP="00EC391B">
      <w:pPr>
        <w:numPr>
          <w:ilvl w:val="0"/>
          <w:numId w:val="19"/>
        </w:numPr>
        <w:shd w:val="clear" w:color="auto" w:fill="FFFFFF"/>
        <w:spacing w:line="300" w:lineRule="atLeast"/>
        <w:ind w:left="375"/>
        <w:rPr>
          <w:rFonts w:ascii="Arial" w:eastAsia="Times New Roman" w:hAnsi="Arial" w:cs="Arial"/>
          <w:color w:val="252525"/>
          <w:sz w:val="27"/>
          <w:szCs w:val="27"/>
          <w:lang w:eastAsia="zh-CN"/>
        </w:rPr>
      </w:pPr>
      <w:r w:rsidRPr="00385BDF">
        <w:rPr>
          <w:rFonts w:ascii="Arial" w:eastAsia="Times New Roman" w:hAnsi="Arial" w:cs="Arial"/>
          <w:color w:val="252525"/>
          <w:sz w:val="27"/>
          <w:szCs w:val="27"/>
          <w:lang w:eastAsia="zh-CN"/>
        </w:rPr>
        <w:t>Insurance and Annuities (</w:t>
      </w:r>
      <w:hyperlink r:id="rId17" w:anchor="49A-210" w:tgtFrame="_blank" w:history="1">
        <w:r w:rsidRPr="00385BDF">
          <w:rPr>
            <w:rFonts w:ascii="Arial" w:eastAsia="Times New Roman" w:hAnsi="Arial" w:cs="Arial"/>
            <w:color w:val="008CDD"/>
            <w:sz w:val="27"/>
            <w:szCs w:val="27"/>
            <w:lang w:eastAsia="zh-CN"/>
          </w:rPr>
          <w:t>§ 49A-210</w:t>
        </w:r>
      </w:hyperlink>
      <w:r w:rsidRPr="00385BDF">
        <w:rPr>
          <w:rFonts w:ascii="Arial" w:eastAsia="Times New Roman" w:hAnsi="Arial" w:cs="Arial"/>
          <w:color w:val="252525"/>
          <w:sz w:val="27"/>
          <w:szCs w:val="27"/>
          <w:lang w:eastAsia="zh-CN"/>
        </w:rPr>
        <w:t>);</w:t>
      </w:r>
    </w:p>
    <w:p w14:paraId="323D281D" w14:textId="77777777" w:rsidR="00385BDF" w:rsidRPr="00385BDF" w:rsidRDefault="00385BDF" w:rsidP="00EC391B">
      <w:pPr>
        <w:numPr>
          <w:ilvl w:val="0"/>
          <w:numId w:val="19"/>
        </w:numPr>
        <w:shd w:val="clear" w:color="auto" w:fill="FFFFFF"/>
        <w:spacing w:line="300" w:lineRule="atLeast"/>
        <w:ind w:left="375"/>
        <w:rPr>
          <w:rFonts w:ascii="Arial" w:eastAsia="Times New Roman" w:hAnsi="Arial" w:cs="Arial"/>
          <w:color w:val="252525"/>
          <w:sz w:val="27"/>
          <w:szCs w:val="27"/>
          <w:lang w:eastAsia="zh-CN"/>
        </w:rPr>
      </w:pPr>
      <w:r w:rsidRPr="00385BDF">
        <w:rPr>
          <w:rFonts w:ascii="Arial" w:eastAsia="Times New Roman" w:hAnsi="Arial" w:cs="Arial"/>
          <w:color w:val="252525"/>
          <w:sz w:val="27"/>
          <w:szCs w:val="27"/>
          <w:lang w:eastAsia="zh-CN"/>
        </w:rPr>
        <w:t>Estates, Trusts, and Other Beneficial Interests (</w:t>
      </w:r>
      <w:hyperlink r:id="rId18" w:anchor="49A-211" w:tgtFrame="_blank" w:history="1">
        <w:r w:rsidRPr="00385BDF">
          <w:rPr>
            <w:rFonts w:ascii="Arial" w:eastAsia="Times New Roman" w:hAnsi="Arial" w:cs="Arial"/>
            <w:color w:val="008CDD"/>
            <w:sz w:val="27"/>
            <w:szCs w:val="27"/>
            <w:lang w:eastAsia="zh-CN"/>
          </w:rPr>
          <w:t>§ 49A-211</w:t>
        </w:r>
      </w:hyperlink>
      <w:r w:rsidRPr="00385BDF">
        <w:rPr>
          <w:rFonts w:ascii="Arial" w:eastAsia="Times New Roman" w:hAnsi="Arial" w:cs="Arial"/>
          <w:color w:val="252525"/>
          <w:sz w:val="27"/>
          <w:szCs w:val="27"/>
          <w:lang w:eastAsia="zh-CN"/>
        </w:rPr>
        <w:t>);</w:t>
      </w:r>
    </w:p>
    <w:p w14:paraId="6F38AB3C" w14:textId="77777777" w:rsidR="00385BDF" w:rsidRPr="00385BDF" w:rsidRDefault="00385BDF" w:rsidP="00EC391B">
      <w:pPr>
        <w:numPr>
          <w:ilvl w:val="0"/>
          <w:numId w:val="19"/>
        </w:numPr>
        <w:shd w:val="clear" w:color="auto" w:fill="FFFFFF"/>
        <w:spacing w:line="300" w:lineRule="atLeast"/>
        <w:ind w:left="375"/>
        <w:rPr>
          <w:rFonts w:ascii="Arial" w:eastAsia="Times New Roman" w:hAnsi="Arial" w:cs="Arial"/>
          <w:color w:val="252525"/>
          <w:sz w:val="27"/>
          <w:szCs w:val="27"/>
          <w:lang w:eastAsia="zh-CN"/>
        </w:rPr>
      </w:pPr>
      <w:r w:rsidRPr="00385BDF">
        <w:rPr>
          <w:rFonts w:ascii="Arial" w:eastAsia="Times New Roman" w:hAnsi="Arial" w:cs="Arial"/>
          <w:color w:val="252525"/>
          <w:sz w:val="27"/>
          <w:szCs w:val="27"/>
          <w:lang w:eastAsia="zh-CN"/>
        </w:rPr>
        <w:t>Claims and Litigation (</w:t>
      </w:r>
      <w:hyperlink r:id="rId19" w:anchor="49A-212" w:tgtFrame="_blank" w:history="1">
        <w:r w:rsidRPr="00385BDF">
          <w:rPr>
            <w:rFonts w:ascii="Arial" w:eastAsia="Times New Roman" w:hAnsi="Arial" w:cs="Arial"/>
            <w:color w:val="008CDD"/>
            <w:sz w:val="27"/>
            <w:szCs w:val="27"/>
            <w:lang w:eastAsia="zh-CN"/>
          </w:rPr>
          <w:t>§ 49A-212</w:t>
        </w:r>
      </w:hyperlink>
      <w:r w:rsidRPr="00385BDF">
        <w:rPr>
          <w:rFonts w:ascii="Arial" w:eastAsia="Times New Roman" w:hAnsi="Arial" w:cs="Arial"/>
          <w:color w:val="252525"/>
          <w:sz w:val="27"/>
          <w:szCs w:val="27"/>
          <w:lang w:eastAsia="zh-CN"/>
        </w:rPr>
        <w:t>);</w:t>
      </w:r>
    </w:p>
    <w:p w14:paraId="6C0E20AB" w14:textId="77777777" w:rsidR="00385BDF" w:rsidRPr="00385BDF" w:rsidRDefault="00385BDF" w:rsidP="00EC391B">
      <w:pPr>
        <w:numPr>
          <w:ilvl w:val="0"/>
          <w:numId w:val="19"/>
        </w:numPr>
        <w:shd w:val="clear" w:color="auto" w:fill="FFFFFF"/>
        <w:spacing w:line="300" w:lineRule="atLeast"/>
        <w:ind w:left="375"/>
        <w:rPr>
          <w:rFonts w:ascii="Arial" w:eastAsia="Times New Roman" w:hAnsi="Arial" w:cs="Arial"/>
          <w:color w:val="252525"/>
          <w:sz w:val="27"/>
          <w:szCs w:val="27"/>
          <w:lang w:eastAsia="zh-CN"/>
        </w:rPr>
      </w:pPr>
      <w:r w:rsidRPr="00385BDF">
        <w:rPr>
          <w:rFonts w:ascii="Arial" w:eastAsia="Times New Roman" w:hAnsi="Arial" w:cs="Arial"/>
          <w:color w:val="252525"/>
          <w:sz w:val="27"/>
          <w:szCs w:val="27"/>
          <w:lang w:eastAsia="zh-CN"/>
        </w:rPr>
        <w:t>Personal and Family Maintenance (</w:t>
      </w:r>
      <w:hyperlink r:id="rId20" w:anchor="49A-213" w:tgtFrame="_blank" w:history="1">
        <w:r w:rsidRPr="00385BDF">
          <w:rPr>
            <w:rFonts w:ascii="Arial" w:eastAsia="Times New Roman" w:hAnsi="Arial" w:cs="Arial"/>
            <w:color w:val="008CDD"/>
            <w:sz w:val="27"/>
            <w:szCs w:val="27"/>
            <w:lang w:eastAsia="zh-CN"/>
          </w:rPr>
          <w:t>§ 49A-213</w:t>
        </w:r>
      </w:hyperlink>
      <w:r w:rsidRPr="00385BDF">
        <w:rPr>
          <w:rFonts w:ascii="Arial" w:eastAsia="Times New Roman" w:hAnsi="Arial" w:cs="Arial"/>
          <w:color w:val="252525"/>
          <w:sz w:val="27"/>
          <w:szCs w:val="27"/>
          <w:lang w:eastAsia="zh-CN"/>
        </w:rPr>
        <w:t>);</w:t>
      </w:r>
    </w:p>
    <w:p w14:paraId="75083455" w14:textId="77777777" w:rsidR="00385BDF" w:rsidRPr="00385BDF" w:rsidRDefault="00385BDF" w:rsidP="00EC391B">
      <w:pPr>
        <w:numPr>
          <w:ilvl w:val="0"/>
          <w:numId w:val="19"/>
        </w:numPr>
        <w:shd w:val="clear" w:color="auto" w:fill="FFFFFF"/>
        <w:spacing w:line="300" w:lineRule="atLeast"/>
        <w:ind w:left="375"/>
        <w:rPr>
          <w:rFonts w:ascii="Arial" w:eastAsia="Times New Roman" w:hAnsi="Arial" w:cs="Arial"/>
          <w:color w:val="252525"/>
          <w:sz w:val="27"/>
          <w:szCs w:val="27"/>
          <w:lang w:eastAsia="zh-CN"/>
        </w:rPr>
      </w:pPr>
      <w:r w:rsidRPr="00385BDF">
        <w:rPr>
          <w:rFonts w:ascii="Arial" w:eastAsia="Times New Roman" w:hAnsi="Arial" w:cs="Arial"/>
          <w:color w:val="252525"/>
          <w:sz w:val="27"/>
          <w:szCs w:val="27"/>
          <w:lang w:eastAsia="zh-CN"/>
        </w:rPr>
        <w:t>Benefits from Governmental Programs or Civil or Military Service (</w:t>
      </w:r>
      <w:hyperlink r:id="rId21" w:anchor="49A-214" w:tgtFrame="_blank" w:history="1">
        <w:r w:rsidRPr="00385BDF">
          <w:rPr>
            <w:rFonts w:ascii="Arial" w:eastAsia="Times New Roman" w:hAnsi="Arial" w:cs="Arial"/>
            <w:color w:val="008CDD"/>
            <w:sz w:val="27"/>
            <w:szCs w:val="27"/>
            <w:lang w:eastAsia="zh-CN"/>
          </w:rPr>
          <w:t>§ 49A-214</w:t>
        </w:r>
      </w:hyperlink>
      <w:r w:rsidRPr="00385BDF">
        <w:rPr>
          <w:rFonts w:ascii="Arial" w:eastAsia="Times New Roman" w:hAnsi="Arial" w:cs="Arial"/>
          <w:color w:val="252525"/>
          <w:sz w:val="27"/>
          <w:szCs w:val="27"/>
          <w:lang w:eastAsia="zh-CN"/>
        </w:rPr>
        <w:t>);</w:t>
      </w:r>
    </w:p>
    <w:p w14:paraId="56CC9697" w14:textId="77777777" w:rsidR="00385BDF" w:rsidRPr="00385BDF" w:rsidRDefault="00385BDF" w:rsidP="00EC391B">
      <w:pPr>
        <w:numPr>
          <w:ilvl w:val="0"/>
          <w:numId w:val="19"/>
        </w:numPr>
        <w:shd w:val="clear" w:color="auto" w:fill="FFFFFF"/>
        <w:spacing w:line="300" w:lineRule="atLeast"/>
        <w:ind w:left="375"/>
        <w:rPr>
          <w:rFonts w:ascii="Arial" w:eastAsia="Times New Roman" w:hAnsi="Arial" w:cs="Arial"/>
          <w:color w:val="252525"/>
          <w:sz w:val="27"/>
          <w:szCs w:val="27"/>
          <w:lang w:eastAsia="zh-CN"/>
        </w:rPr>
      </w:pPr>
      <w:r w:rsidRPr="00385BDF">
        <w:rPr>
          <w:rFonts w:ascii="Arial" w:eastAsia="Times New Roman" w:hAnsi="Arial" w:cs="Arial"/>
          <w:color w:val="252525"/>
          <w:sz w:val="27"/>
          <w:szCs w:val="27"/>
          <w:lang w:eastAsia="zh-CN"/>
        </w:rPr>
        <w:t>Retirement Plans (</w:t>
      </w:r>
      <w:hyperlink r:id="rId22" w:anchor="49A-215" w:tgtFrame="_blank" w:history="1">
        <w:r w:rsidRPr="00385BDF">
          <w:rPr>
            <w:rFonts w:ascii="Arial" w:eastAsia="Times New Roman" w:hAnsi="Arial" w:cs="Arial"/>
            <w:color w:val="008CDD"/>
            <w:sz w:val="27"/>
            <w:szCs w:val="27"/>
            <w:lang w:eastAsia="zh-CN"/>
          </w:rPr>
          <w:t>§ 49A-215</w:t>
        </w:r>
      </w:hyperlink>
      <w:r w:rsidRPr="00385BDF">
        <w:rPr>
          <w:rFonts w:ascii="Arial" w:eastAsia="Times New Roman" w:hAnsi="Arial" w:cs="Arial"/>
          <w:color w:val="252525"/>
          <w:sz w:val="27"/>
          <w:szCs w:val="27"/>
          <w:lang w:eastAsia="zh-CN"/>
        </w:rPr>
        <w:t>);</w:t>
      </w:r>
    </w:p>
    <w:p w14:paraId="01BA067C" w14:textId="77777777" w:rsidR="00385BDF" w:rsidRPr="00385BDF" w:rsidRDefault="00385BDF" w:rsidP="00EC391B">
      <w:pPr>
        <w:numPr>
          <w:ilvl w:val="0"/>
          <w:numId w:val="19"/>
        </w:numPr>
        <w:shd w:val="clear" w:color="auto" w:fill="FFFFFF"/>
        <w:spacing w:line="300" w:lineRule="atLeast"/>
        <w:ind w:left="375"/>
        <w:rPr>
          <w:rFonts w:ascii="Arial" w:eastAsia="Times New Roman" w:hAnsi="Arial" w:cs="Arial"/>
          <w:color w:val="252525"/>
          <w:sz w:val="27"/>
          <w:szCs w:val="27"/>
          <w:lang w:eastAsia="zh-CN"/>
        </w:rPr>
      </w:pPr>
      <w:r w:rsidRPr="00385BDF">
        <w:rPr>
          <w:rFonts w:ascii="Arial" w:eastAsia="Times New Roman" w:hAnsi="Arial" w:cs="Arial"/>
          <w:color w:val="252525"/>
          <w:sz w:val="27"/>
          <w:szCs w:val="27"/>
          <w:lang w:eastAsia="zh-CN"/>
        </w:rPr>
        <w:t>Taxes (</w:t>
      </w:r>
      <w:hyperlink r:id="rId23" w:anchor="49A-216" w:tgtFrame="_blank" w:history="1">
        <w:r w:rsidRPr="00385BDF">
          <w:rPr>
            <w:rFonts w:ascii="Arial" w:eastAsia="Times New Roman" w:hAnsi="Arial" w:cs="Arial"/>
            <w:color w:val="008CDD"/>
            <w:sz w:val="27"/>
            <w:szCs w:val="27"/>
            <w:lang w:eastAsia="zh-CN"/>
          </w:rPr>
          <w:t>§ 49A-216</w:t>
        </w:r>
      </w:hyperlink>
      <w:r w:rsidRPr="00385BDF">
        <w:rPr>
          <w:rFonts w:ascii="Arial" w:eastAsia="Times New Roman" w:hAnsi="Arial" w:cs="Arial"/>
          <w:color w:val="252525"/>
          <w:sz w:val="27"/>
          <w:szCs w:val="27"/>
          <w:lang w:eastAsia="zh-CN"/>
        </w:rPr>
        <w:t>);</w:t>
      </w:r>
    </w:p>
    <w:p w14:paraId="58977E8A" w14:textId="77777777" w:rsidR="00385BDF" w:rsidRPr="00385BDF" w:rsidRDefault="00385BDF" w:rsidP="00EC391B">
      <w:pPr>
        <w:numPr>
          <w:ilvl w:val="0"/>
          <w:numId w:val="19"/>
        </w:numPr>
        <w:shd w:val="clear" w:color="auto" w:fill="FFFFFF"/>
        <w:spacing w:line="300" w:lineRule="atLeast"/>
        <w:ind w:left="375"/>
        <w:rPr>
          <w:rFonts w:ascii="Arial" w:eastAsia="Times New Roman" w:hAnsi="Arial" w:cs="Arial"/>
          <w:color w:val="252525"/>
          <w:sz w:val="27"/>
          <w:szCs w:val="27"/>
          <w:lang w:eastAsia="zh-CN"/>
        </w:rPr>
      </w:pPr>
      <w:r w:rsidRPr="00385BDF">
        <w:rPr>
          <w:rFonts w:ascii="Arial" w:eastAsia="Times New Roman" w:hAnsi="Arial" w:cs="Arial"/>
          <w:color w:val="252525"/>
          <w:sz w:val="27"/>
          <w:szCs w:val="27"/>
          <w:lang w:eastAsia="zh-CN"/>
        </w:rPr>
        <w:t>Gifts (</w:t>
      </w:r>
      <w:hyperlink r:id="rId24" w:anchor="49A-217" w:tgtFrame="_blank" w:history="1">
        <w:r w:rsidRPr="00385BDF">
          <w:rPr>
            <w:rFonts w:ascii="Arial" w:eastAsia="Times New Roman" w:hAnsi="Arial" w:cs="Arial"/>
            <w:color w:val="008CDD"/>
            <w:sz w:val="27"/>
            <w:szCs w:val="27"/>
            <w:lang w:eastAsia="zh-CN"/>
          </w:rPr>
          <w:t>§ 49A-217</w:t>
        </w:r>
      </w:hyperlink>
      <w:r w:rsidRPr="00385BDF">
        <w:rPr>
          <w:rFonts w:ascii="Arial" w:eastAsia="Times New Roman" w:hAnsi="Arial" w:cs="Arial"/>
          <w:color w:val="252525"/>
          <w:sz w:val="27"/>
          <w:szCs w:val="27"/>
          <w:lang w:eastAsia="zh-CN"/>
        </w:rPr>
        <w:t>).</w:t>
      </w:r>
    </w:p>
    <w:p w14:paraId="46DE5684" w14:textId="77777777" w:rsidR="00385BDF" w:rsidRPr="00385BDF" w:rsidRDefault="00385BDF" w:rsidP="00EC391B">
      <w:pPr>
        <w:shd w:val="clear" w:color="auto" w:fill="FFFFFF"/>
        <w:spacing w:before="200" w:after="200" w:line="360" w:lineRule="atLeast"/>
        <w:outlineLvl w:val="2"/>
        <w:rPr>
          <w:rFonts w:ascii="Arial" w:eastAsia="Times New Roman" w:hAnsi="Arial" w:cs="Arial"/>
          <w:color w:val="252525"/>
          <w:sz w:val="32"/>
          <w:szCs w:val="32"/>
          <w:lang w:eastAsia="zh-CN"/>
        </w:rPr>
      </w:pPr>
      <w:r w:rsidRPr="00385BDF">
        <w:rPr>
          <w:rFonts w:ascii="Arial" w:eastAsia="Times New Roman" w:hAnsi="Arial" w:cs="Arial"/>
          <w:b/>
          <w:bCs/>
          <w:color w:val="252525"/>
          <w:sz w:val="32"/>
          <w:szCs w:val="32"/>
          <w:lang w:eastAsia="zh-CN"/>
        </w:rPr>
        <w:t>Step 3 – List Current Assets of the Estate</w:t>
      </w:r>
    </w:p>
    <w:p w14:paraId="5AA9E363" w14:textId="77777777" w:rsidR="00385BDF" w:rsidRPr="00385BDF" w:rsidRDefault="00385BDF" w:rsidP="00EC391B">
      <w:pPr>
        <w:shd w:val="clear" w:color="auto" w:fill="FFFFFF"/>
        <w:spacing w:before="200" w:after="200"/>
        <w:rPr>
          <w:rFonts w:ascii="Arial" w:hAnsi="Arial" w:cs="Arial"/>
          <w:color w:val="252525"/>
          <w:sz w:val="27"/>
          <w:szCs w:val="27"/>
          <w:lang w:eastAsia="zh-CN"/>
        </w:rPr>
      </w:pPr>
      <w:r w:rsidRPr="00385BDF">
        <w:rPr>
          <w:rFonts w:ascii="Arial" w:hAnsi="Arial" w:cs="Arial"/>
          <w:color w:val="252525"/>
          <w:sz w:val="27"/>
          <w:szCs w:val="27"/>
          <w:lang w:eastAsia="zh-CN"/>
        </w:rPr>
        <w:t>Before the principal creates an estate distribution document (i.e., living trust or last will and testament), it may be worthwhile to make a list of their current financial accounts, personal property, real estate, and other assets they wish to distribute following their death. A </w:t>
      </w:r>
      <w:hyperlink r:id="rId25" w:history="1">
        <w:r w:rsidRPr="00385BDF">
          <w:rPr>
            <w:rFonts w:ascii="Arial" w:hAnsi="Arial" w:cs="Arial"/>
            <w:color w:val="008CDD"/>
            <w:sz w:val="27"/>
            <w:szCs w:val="27"/>
            <w:lang w:eastAsia="zh-CN"/>
          </w:rPr>
          <w:t>Current Assets List</w:t>
        </w:r>
      </w:hyperlink>
      <w:r w:rsidRPr="00385BDF">
        <w:rPr>
          <w:rFonts w:ascii="Arial" w:hAnsi="Arial" w:cs="Arial"/>
          <w:color w:val="252525"/>
          <w:sz w:val="27"/>
          <w:szCs w:val="27"/>
          <w:lang w:eastAsia="zh-CN"/>
        </w:rPr>
        <w:t> can be used to record all pertinent information in a clear and concise manner.</w:t>
      </w:r>
    </w:p>
    <w:p w14:paraId="42853A36" w14:textId="77777777" w:rsidR="00385BDF" w:rsidRPr="00385BDF" w:rsidRDefault="00385BDF" w:rsidP="00EC391B">
      <w:pPr>
        <w:shd w:val="clear" w:color="auto" w:fill="FFFFFF"/>
        <w:spacing w:before="200" w:after="200" w:line="360" w:lineRule="atLeast"/>
        <w:outlineLvl w:val="2"/>
        <w:rPr>
          <w:rFonts w:ascii="Arial" w:eastAsia="Times New Roman" w:hAnsi="Arial" w:cs="Arial"/>
          <w:color w:val="252525"/>
          <w:sz w:val="32"/>
          <w:szCs w:val="32"/>
          <w:lang w:eastAsia="zh-CN"/>
        </w:rPr>
      </w:pPr>
      <w:r w:rsidRPr="00385BDF">
        <w:rPr>
          <w:rFonts w:ascii="Arial" w:eastAsia="Times New Roman" w:hAnsi="Arial" w:cs="Arial"/>
          <w:b/>
          <w:bCs/>
          <w:color w:val="252525"/>
          <w:sz w:val="32"/>
          <w:szCs w:val="32"/>
          <w:lang w:eastAsia="zh-CN"/>
        </w:rPr>
        <w:t>Step 4 – Communicate with the Beneficiaries</w:t>
      </w:r>
    </w:p>
    <w:p w14:paraId="0C16FD04" w14:textId="77777777" w:rsidR="00385BDF" w:rsidRPr="00385BDF" w:rsidRDefault="00385BDF" w:rsidP="00EC391B">
      <w:pPr>
        <w:shd w:val="clear" w:color="auto" w:fill="FFFFFF"/>
        <w:spacing w:before="200" w:after="200"/>
        <w:rPr>
          <w:rFonts w:ascii="Arial" w:hAnsi="Arial" w:cs="Arial"/>
          <w:color w:val="252525"/>
          <w:sz w:val="27"/>
          <w:szCs w:val="27"/>
          <w:lang w:eastAsia="zh-CN"/>
        </w:rPr>
      </w:pPr>
      <w:r w:rsidRPr="00385BDF">
        <w:rPr>
          <w:rFonts w:ascii="Arial" w:hAnsi="Arial" w:cs="Arial"/>
          <w:color w:val="252525"/>
          <w:sz w:val="27"/>
          <w:szCs w:val="27"/>
          <w:lang w:eastAsia="zh-CN"/>
        </w:rPr>
        <w:t>After the principal has determined which assets will be transferred when they die, they will need to nominate the beneficiaries. These are the parties who will receive the principal’s assets after they pass away. Generally, the beneficiaries will receive either a percentage of the assets or be given specific items in the estate. Once the beneficiaries are chosen, the principal should communicate the information with each party to be sure that they are prepared for the inheritance.</w:t>
      </w:r>
    </w:p>
    <w:p w14:paraId="68F53C4C" w14:textId="77777777" w:rsidR="00385BDF" w:rsidRPr="00385BDF" w:rsidRDefault="00385BDF" w:rsidP="00EC391B">
      <w:pPr>
        <w:shd w:val="clear" w:color="auto" w:fill="FFFFFF"/>
        <w:spacing w:before="200" w:after="200" w:line="360" w:lineRule="atLeast"/>
        <w:outlineLvl w:val="2"/>
        <w:rPr>
          <w:rFonts w:ascii="Arial" w:eastAsia="Times New Roman" w:hAnsi="Arial" w:cs="Arial"/>
          <w:color w:val="252525"/>
          <w:sz w:val="32"/>
          <w:szCs w:val="32"/>
          <w:lang w:eastAsia="zh-CN"/>
        </w:rPr>
      </w:pPr>
      <w:r w:rsidRPr="00385BDF">
        <w:rPr>
          <w:rFonts w:ascii="Arial" w:eastAsia="Times New Roman" w:hAnsi="Arial" w:cs="Arial"/>
          <w:b/>
          <w:bCs/>
          <w:color w:val="252525"/>
          <w:sz w:val="32"/>
          <w:szCs w:val="32"/>
          <w:lang w:eastAsia="zh-CN"/>
        </w:rPr>
        <w:t>Step 5 – Make an Estate Distribution Document</w:t>
      </w:r>
    </w:p>
    <w:p w14:paraId="23171224" w14:textId="77777777" w:rsidR="00385BDF" w:rsidRPr="00385BDF" w:rsidRDefault="00385BDF" w:rsidP="00EC391B">
      <w:pPr>
        <w:shd w:val="clear" w:color="auto" w:fill="FFFFFF"/>
        <w:spacing w:before="200" w:after="200"/>
        <w:rPr>
          <w:rFonts w:ascii="Arial" w:hAnsi="Arial" w:cs="Arial"/>
          <w:color w:val="252525"/>
          <w:sz w:val="27"/>
          <w:szCs w:val="27"/>
          <w:lang w:eastAsia="zh-CN"/>
        </w:rPr>
      </w:pPr>
      <w:r w:rsidRPr="00385BDF">
        <w:rPr>
          <w:rFonts w:ascii="Arial" w:hAnsi="Arial" w:cs="Arial"/>
          <w:color w:val="252525"/>
          <w:sz w:val="27"/>
          <w:szCs w:val="27"/>
          <w:lang w:eastAsia="zh-CN"/>
        </w:rPr>
        <w:t>There are two (2) documents to consider when preparing for the transfer of one’s estate after death; a Last Will and Testament and a Revocable Living Trust. Either of the forms may be used in part with the other, though each document serves a slightly different function. The document(s) used by the principal will depend on their financial and personal preferences.</w:t>
      </w:r>
    </w:p>
    <w:p w14:paraId="471FC373" w14:textId="77777777" w:rsidR="00385BDF" w:rsidRPr="00385BDF" w:rsidRDefault="00385BDF" w:rsidP="00EC391B">
      <w:pPr>
        <w:shd w:val="clear" w:color="auto" w:fill="FFFFFF"/>
        <w:spacing w:before="200" w:after="200"/>
        <w:rPr>
          <w:rFonts w:ascii="Arial" w:hAnsi="Arial" w:cs="Arial"/>
          <w:color w:val="252525"/>
          <w:sz w:val="27"/>
          <w:szCs w:val="27"/>
          <w:lang w:eastAsia="zh-CN"/>
        </w:rPr>
      </w:pPr>
      <w:hyperlink r:id="rId26" w:history="1">
        <w:r w:rsidRPr="00385BDF">
          <w:rPr>
            <w:rFonts w:ascii="Arial" w:hAnsi="Arial" w:cs="Arial"/>
            <w:color w:val="008CDD"/>
            <w:sz w:val="27"/>
            <w:szCs w:val="27"/>
            <w:lang w:eastAsia="zh-CN"/>
          </w:rPr>
          <w:t>Last Will and Testament (‘Will’)</w:t>
        </w:r>
      </w:hyperlink>
      <w:r w:rsidRPr="00385BDF">
        <w:rPr>
          <w:rFonts w:ascii="Arial" w:hAnsi="Arial" w:cs="Arial"/>
          <w:color w:val="252525"/>
          <w:sz w:val="27"/>
          <w:szCs w:val="27"/>
          <w:lang w:eastAsia="zh-CN"/>
        </w:rPr>
        <w:t> – This form allows for a simplified estate planning procedure. The principal will outline the assets they wish to transfer to each beneficiary and specify other preferences regarding their estate distribution preferences. After the principal dies, the document will</w:t>
      </w:r>
      <w:r w:rsidRPr="00385BDF">
        <w:rPr>
          <w:rFonts w:ascii="Arial" w:hAnsi="Arial" w:cs="Arial"/>
          <w:b/>
          <w:bCs/>
          <w:color w:val="252525"/>
          <w:sz w:val="27"/>
          <w:szCs w:val="27"/>
          <w:lang w:eastAsia="zh-CN"/>
        </w:rPr>
        <w:t> go through the probate court </w:t>
      </w:r>
      <w:r w:rsidRPr="00385BDF">
        <w:rPr>
          <w:rFonts w:ascii="Arial" w:hAnsi="Arial" w:cs="Arial"/>
          <w:color w:val="252525"/>
          <w:sz w:val="27"/>
          <w:szCs w:val="27"/>
          <w:lang w:eastAsia="zh-CN"/>
        </w:rPr>
        <w:t>which can result in fees and extended processing times.</w:t>
      </w:r>
    </w:p>
    <w:p w14:paraId="2899DA7C" w14:textId="77777777" w:rsidR="00385BDF" w:rsidRPr="00385BDF" w:rsidRDefault="00385BDF" w:rsidP="00EC391B">
      <w:pPr>
        <w:numPr>
          <w:ilvl w:val="0"/>
          <w:numId w:val="20"/>
        </w:numPr>
        <w:shd w:val="clear" w:color="auto" w:fill="FFFFFF"/>
        <w:spacing w:before="200" w:after="200" w:line="300" w:lineRule="atLeast"/>
        <w:ind w:left="375"/>
        <w:rPr>
          <w:rFonts w:ascii="Arial" w:eastAsia="Times New Roman" w:hAnsi="Arial" w:cs="Arial"/>
          <w:color w:val="252525"/>
          <w:sz w:val="27"/>
          <w:szCs w:val="27"/>
          <w:lang w:eastAsia="zh-CN"/>
        </w:rPr>
      </w:pPr>
      <w:r w:rsidRPr="00385BDF">
        <w:rPr>
          <w:rFonts w:ascii="Arial" w:eastAsia="Times New Roman" w:hAnsi="Arial" w:cs="Arial"/>
          <w:b/>
          <w:bCs/>
          <w:color w:val="252525"/>
          <w:sz w:val="27"/>
          <w:szCs w:val="27"/>
          <w:lang w:eastAsia="zh-CN"/>
        </w:rPr>
        <w:t>Signing Requirements </w:t>
      </w:r>
      <w:r w:rsidRPr="00385BDF">
        <w:rPr>
          <w:rFonts w:ascii="Arial" w:eastAsia="Times New Roman" w:hAnsi="Arial" w:cs="Arial"/>
          <w:color w:val="252525"/>
          <w:sz w:val="27"/>
          <w:szCs w:val="27"/>
          <w:lang w:eastAsia="zh-CN"/>
        </w:rPr>
        <w:t>(</w:t>
      </w:r>
      <w:hyperlink r:id="rId27" w:anchor="202" w:tgtFrame="_blank" w:history="1">
        <w:r w:rsidRPr="00385BDF">
          <w:rPr>
            <w:rFonts w:ascii="Arial" w:eastAsia="Times New Roman" w:hAnsi="Arial" w:cs="Arial"/>
            <w:color w:val="008CDD"/>
            <w:sz w:val="27"/>
            <w:szCs w:val="27"/>
            <w:lang w:eastAsia="zh-CN"/>
          </w:rPr>
          <w:t>§ 202</w:t>
        </w:r>
      </w:hyperlink>
      <w:r w:rsidRPr="00385BDF">
        <w:rPr>
          <w:rFonts w:ascii="Arial" w:eastAsia="Times New Roman" w:hAnsi="Arial" w:cs="Arial"/>
          <w:color w:val="252525"/>
          <w:sz w:val="27"/>
          <w:szCs w:val="27"/>
          <w:lang w:eastAsia="zh-CN"/>
        </w:rPr>
        <w:t>) – Must be signed by the principal and two (2) or more credible witnesses.</w:t>
      </w:r>
    </w:p>
    <w:p w14:paraId="315F9A5E" w14:textId="77777777" w:rsidR="00385BDF" w:rsidRPr="00385BDF" w:rsidRDefault="00385BDF" w:rsidP="00EC391B">
      <w:pPr>
        <w:shd w:val="clear" w:color="auto" w:fill="FFFFFF"/>
        <w:spacing w:before="200" w:after="200"/>
        <w:rPr>
          <w:rFonts w:ascii="Arial" w:hAnsi="Arial" w:cs="Arial"/>
          <w:color w:val="252525"/>
          <w:sz w:val="27"/>
          <w:szCs w:val="27"/>
          <w:lang w:eastAsia="zh-CN"/>
        </w:rPr>
      </w:pPr>
      <w:hyperlink r:id="rId28" w:history="1">
        <w:r w:rsidRPr="00385BDF">
          <w:rPr>
            <w:rFonts w:ascii="Arial" w:hAnsi="Arial" w:cs="Arial"/>
            <w:color w:val="008CDD"/>
            <w:sz w:val="27"/>
            <w:szCs w:val="27"/>
            <w:lang w:eastAsia="zh-CN"/>
          </w:rPr>
          <w:t>Revocable Living Trust</w:t>
        </w:r>
      </w:hyperlink>
      <w:r w:rsidRPr="00385BDF">
        <w:rPr>
          <w:rFonts w:ascii="Arial" w:hAnsi="Arial" w:cs="Arial"/>
          <w:color w:val="252525"/>
          <w:sz w:val="27"/>
          <w:szCs w:val="27"/>
          <w:lang w:eastAsia="zh-CN"/>
        </w:rPr>
        <w:t> – Unlike a last will and testament, a revocable living trust </w:t>
      </w:r>
      <w:r w:rsidRPr="00385BDF">
        <w:rPr>
          <w:rFonts w:ascii="Arial" w:hAnsi="Arial" w:cs="Arial"/>
          <w:b/>
          <w:bCs/>
          <w:color w:val="252525"/>
          <w:sz w:val="27"/>
          <w:szCs w:val="27"/>
          <w:lang w:eastAsia="zh-CN"/>
        </w:rPr>
        <w:t>will not go through the probate court</w:t>
      </w:r>
      <w:r w:rsidRPr="00385BDF">
        <w:rPr>
          <w:rFonts w:ascii="Arial" w:hAnsi="Arial" w:cs="Arial"/>
          <w:color w:val="252525"/>
          <w:sz w:val="27"/>
          <w:szCs w:val="27"/>
          <w:lang w:eastAsia="zh-CN"/>
        </w:rPr>
        <w:t>. The principal may still designate their assets and name beneficiaries. However, upon the principal’s death, the assets can be transferred immediately to the beneficiaries. The downside of a living trust is that the filing process can be more complex and the initial costs are higher.</w:t>
      </w:r>
    </w:p>
    <w:p w14:paraId="3BB1E163" w14:textId="77777777" w:rsidR="00385BDF" w:rsidRPr="00385BDF" w:rsidRDefault="00385BDF" w:rsidP="00EC391B">
      <w:pPr>
        <w:numPr>
          <w:ilvl w:val="0"/>
          <w:numId w:val="21"/>
        </w:numPr>
        <w:shd w:val="clear" w:color="auto" w:fill="FFFFFF"/>
        <w:spacing w:line="300" w:lineRule="atLeast"/>
        <w:ind w:left="375" w:hanging="357"/>
        <w:rPr>
          <w:rFonts w:ascii="Arial" w:eastAsia="Times New Roman" w:hAnsi="Arial" w:cs="Arial"/>
          <w:color w:val="252525"/>
          <w:sz w:val="27"/>
          <w:szCs w:val="27"/>
          <w:lang w:eastAsia="zh-CN"/>
        </w:rPr>
      </w:pPr>
      <w:r w:rsidRPr="00385BDF">
        <w:rPr>
          <w:rFonts w:ascii="Arial" w:eastAsia="Times New Roman" w:hAnsi="Arial" w:cs="Arial"/>
          <w:b/>
          <w:bCs/>
          <w:color w:val="252525"/>
          <w:sz w:val="27"/>
          <w:szCs w:val="27"/>
          <w:lang w:eastAsia="zh-CN"/>
        </w:rPr>
        <w:t>Signing Requirements </w:t>
      </w:r>
      <w:r w:rsidRPr="00385BDF">
        <w:rPr>
          <w:rFonts w:ascii="Arial" w:eastAsia="Times New Roman" w:hAnsi="Arial" w:cs="Arial"/>
          <w:color w:val="252525"/>
          <w:sz w:val="27"/>
          <w:szCs w:val="27"/>
          <w:lang w:eastAsia="zh-CN"/>
        </w:rPr>
        <w:t>(</w:t>
      </w:r>
      <w:hyperlink r:id="rId29" w:anchor="3545" w:tgtFrame="_blank" w:history="1">
        <w:r w:rsidRPr="00385BDF">
          <w:rPr>
            <w:rFonts w:ascii="Arial" w:eastAsia="Times New Roman" w:hAnsi="Arial" w:cs="Arial"/>
            <w:color w:val="008CDD"/>
            <w:sz w:val="27"/>
            <w:szCs w:val="27"/>
            <w:lang w:eastAsia="zh-CN"/>
          </w:rPr>
          <w:t>§ 3545</w:t>
        </w:r>
      </w:hyperlink>
      <w:r w:rsidRPr="00385BDF">
        <w:rPr>
          <w:rFonts w:ascii="Arial" w:eastAsia="Times New Roman" w:hAnsi="Arial" w:cs="Arial"/>
          <w:color w:val="252525"/>
          <w:sz w:val="27"/>
          <w:szCs w:val="27"/>
          <w:lang w:eastAsia="zh-CN"/>
        </w:rPr>
        <w:t>) – Should be signed and acknowledged by the principal in the presence of a notary public. Additionally, when a trust is created to transfer assets to another party, and that party will benefit from said assets after the principal dies, the trust must either be:</w:t>
      </w:r>
    </w:p>
    <w:p w14:paraId="3220799E" w14:textId="77777777" w:rsidR="00385BDF" w:rsidRPr="00385BDF" w:rsidRDefault="00385BDF" w:rsidP="00EC391B">
      <w:pPr>
        <w:numPr>
          <w:ilvl w:val="1"/>
          <w:numId w:val="21"/>
        </w:numPr>
        <w:shd w:val="clear" w:color="auto" w:fill="FFFFFF"/>
        <w:spacing w:line="300" w:lineRule="atLeast"/>
        <w:ind w:left="750" w:hanging="357"/>
        <w:rPr>
          <w:rFonts w:ascii="Arial" w:eastAsia="Times New Roman" w:hAnsi="Arial" w:cs="Arial"/>
          <w:color w:val="252525"/>
          <w:sz w:val="27"/>
          <w:szCs w:val="27"/>
          <w:lang w:eastAsia="zh-CN"/>
        </w:rPr>
      </w:pPr>
      <w:r w:rsidRPr="00385BDF">
        <w:rPr>
          <w:rFonts w:ascii="Arial" w:eastAsia="Times New Roman" w:hAnsi="Arial" w:cs="Arial"/>
          <w:color w:val="252525"/>
          <w:sz w:val="27"/>
          <w:szCs w:val="27"/>
          <w:lang w:eastAsia="zh-CN"/>
        </w:rPr>
        <w:t>Executed by the principal and witnessed by at least (1) disinterested person or two (2) credible persons; or</w:t>
      </w:r>
    </w:p>
    <w:p w14:paraId="22E67665" w14:textId="77777777" w:rsidR="00385BDF" w:rsidRPr="00385BDF" w:rsidRDefault="00385BDF" w:rsidP="00EC391B">
      <w:pPr>
        <w:numPr>
          <w:ilvl w:val="1"/>
          <w:numId w:val="21"/>
        </w:numPr>
        <w:shd w:val="clear" w:color="auto" w:fill="FFFFFF"/>
        <w:spacing w:line="300" w:lineRule="atLeast"/>
        <w:ind w:left="750" w:hanging="357"/>
        <w:rPr>
          <w:rFonts w:ascii="Arial" w:eastAsia="Times New Roman" w:hAnsi="Arial" w:cs="Arial"/>
          <w:color w:val="252525"/>
          <w:sz w:val="27"/>
          <w:szCs w:val="27"/>
          <w:lang w:eastAsia="zh-CN"/>
        </w:rPr>
      </w:pPr>
      <w:r w:rsidRPr="00385BDF">
        <w:rPr>
          <w:rFonts w:ascii="Arial" w:eastAsia="Times New Roman" w:hAnsi="Arial" w:cs="Arial"/>
          <w:color w:val="252525"/>
          <w:sz w:val="27"/>
          <w:szCs w:val="27"/>
          <w:lang w:eastAsia="zh-CN"/>
        </w:rPr>
        <w:t>Executed by a disinterested trustee who has no concern as to whether the trustor or any other person executed the written trust.</w:t>
      </w:r>
    </w:p>
    <w:p w14:paraId="7E58CBEA" w14:textId="77777777" w:rsidR="00385BDF" w:rsidRPr="00385BDF" w:rsidRDefault="00385BDF" w:rsidP="00EC391B">
      <w:pPr>
        <w:shd w:val="clear" w:color="auto" w:fill="FFFFFF"/>
        <w:spacing w:before="200" w:after="200" w:line="360" w:lineRule="atLeast"/>
        <w:outlineLvl w:val="2"/>
        <w:rPr>
          <w:rFonts w:ascii="Arial" w:eastAsia="Times New Roman" w:hAnsi="Arial" w:cs="Arial"/>
          <w:color w:val="252525"/>
          <w:sz w:val="32"/>
          <w:szCs w:val="32"/>
          <w:lang w:eastAsia="zh-CN"/>
        </w:rPr>
      </w:pPr>
      <w:r w:rsidRPr="00385BDF">
        <w:rPr>
          <w:rFonts w:ascii="Arial" w:eastAsia="Times New Roman" w:hAnsi="Arial" w:cs="Arial"/>
          <w:b/>
          <w:bCs/>
          <w:color w:val="252525"/>
          <w:sz w:val="32"/>
          <w:szCs w:val="32"/>
          <w:lang w:eastAsia="zh-CN"/>
        </w:rPr>
        <w:t>Step 6 – Copy and Store Document</w:t>
      </w:r>
    </w:p>
    <w:p w14:paraId="2F93DE4C" w14:textId="77777777" w:rsidR="00385BDF" w:rsidRPr="00385BDF" w:rsidRDefault="00385BDF" w:rsidP="00EC391B">
      <w:pPr>
        <w:shd w:val="clear" w:color="auto" w:fill="FFFFFF"/>
        <w:spacing w:before="200" w:after="200"/>
        <w:rPr>
          <w:rFonts w:ascii="Arial" w:hAnsi="Arial" w:cs="Arial"/>
          <w:color w:val="252525"/>
          <w:sz w:val="27"/>
          <w:szCs w:val="27"/>
          <w:lang w:eastAsia="zh-CN"/>
        </w:rPr>
      </w:pPr>
      <w:r w:rsidRPr="00385BDF">
        <w:rPr>
          <w:rFonts w:ascii="Arial" w:hAnsi="Arial" w:cs="Arial"/>
          <w:color w:val="252525"/>
          <w:sz w:val="27"/>
          <w:szCs w:val="27"/>
          <w:lang w:eastAsia="zh-CN"/>
        </w:rPr>
        <w:t>All estate planning documents should be copied and safely stored for easy access. Original documents should be kept with the principal’s attorney or immediate family members. This way, there will be more than one person with official documentation of the principal’s medical, financial, and estate distribution preferences.</w:t>
      </w:r>
    </w:p>
    <w:p w14:paraId="56C3E10D" w14:textId="77777777" w:rsidR="00385BDF" w:rsidRPr="00385BDF" w:rsidRDefault="00385BDF" w:rsidP="00EC391B">
      <w:pPr>
        <w:shd w:val="clear" w:color="auto" w:fill="FFFFFF"/>
        <w:spacing w:line="360" w:lineRule="atLeast"/>
        <w:outlineLvl w:val="0"/>
        <w:rPr>
          <w:rFonts w:ascii="Arial" w:eastAsia="Times New Roman" w:hAnsi="Arial" w:cs="Arial"/>
          <w:b/>
          <w:bCs/>
          <w:color w:val="252525"/>
          <w:kern w:val="36"/>
          <w:sz w:val="36"/>
          <w:szCs w:val="36"/>
          <w:lang w:eastAsia="zh-CN"/>
        </w:rPr>
      </w:pPr>
      <w:r w:rsidRPr="00385BDF">
        <w:rPr>
          <w:rFonts w:ascii="Arial" w:eastAsia="Times New Roman" w:hAnsi="Arial" w:cs="Arial"/>
          <w:b/>
          <w:bCs/>
          <w:color w:val="252525"/>
          <w:kern w:val="36"/>
          <w:sz w:val="36"/>
          <w:szCs w:val="36"/>
          <w:lang w:eastAsia="zh-CN"/>
        </w:rPr>
        <w:t>Delaware Estate Planning Laws</w:t>
      </w:r>
    </w:p>
    <w:p w14:paraId="339D8897" w14:textId="77777777" w:rsidR="00385BDF" w:rsidRPr="00385BDF" w:rsidRDefault="00385BDF" w:rsidP="00EC391B">
      <w:pPr>
        <w:numPr>
          <w:ilvl w:val="0"/>
          <w:numId w:val="22"/>
        </w:numPr>
        <w:shd w:val="clear" w:color="auto" w:fill="FFFFFF"/>
        <w:spacing w:line="300" w:lineRule="atLeast"/>
        <w:ind w:left="375"/>
        <w:rPr>
          <w:rFonts w:ascii="Arial" w:eastAsia="Times New Roman" w:hAnsi="Arial" w:cs="Arial"/>
          <w:color w:val="252525"/>
          <w:sz w:val="27"/>
          <w:szCs w:val="27"/>
          <w:lang w:eastAsia="zh-CN"/>
        </w:rPr>
      </w:pPr>
      <w:r w:rsidRPr="00385BDF">
        <w:rPr>
          <w:rFonts w:ascii="Arial" w:eastAsia="Times New Roman" w:hAnsi="Arial" w:cs="Arial"/>
          <w:b/>
          <w:bCs/>
          <w:color w:val="252525"/>
          <w:sz w:val="27"/>
          <w:szCs w:val="27"/>
          <w:lang w:eastAsia="zh-CN"/>
        </w:rPr>
        <w:t>Advanced Health Care Directive </w:t>
      </w:r>
      <w:r w:rsidRPr="00385BDF">
        <w:rPr>
          <w:rFonts w:ascii="Arial" w:eastAsia="Times New Roman" w:hAnsi="Arial" w:cs="Arial"/>
          <w:color w:val="252525"/>
          <w:sz w:val="27"/>
          <w:szCs w:val="27"/>
          <w:lang w:eastAsia="zh-CN"/>
        </w:rPr>
        <w:t>– </w:t>
      </w:r>
      <w:hyperlink r:id="rId30" w:tgtFrame="_blank" w:history="1">
        <w:r w:rsidRPr="00385BDF">
          <w:rPr>
            <w:rFonts w:ascii="Arial" w:eastAsia="Times New Roman" w:hAnsi="Arial" w:cs="Arial"/>
            <w:color w:val="008CDD"/>
            <w:sz w:val="27"/>
            <w:szCs w:val="27"/>
            <w:lang w:eastAsia="zh-CN"/>
          </w:rPr>
          <w:t>Title 16, Chapter 25</w:t>
        </w:r>
      </w:hyperlink>
    </w:p>
    <w:p w14:paraId="3D8DCCAB" w14:textId="77777777" w:rsidR="00385BDF" w:rsidRPr="00385BDF" w:rsidRDefault="00385BDF" w:rsidP="00EC391B">
      <w:pPr>
        <w:numPr>
          <w:ilvl w:val="0"/>
          <w:numId w:val="22"/>
        </w:numPr>
        <w:shd w:val="clear" w:color="auto" w:fill="FFFFFF"/>
        <w:spacing w:line="300" w:lineRule="atLeast"/>
        <w:ind w:left="375"/>
        <w:rPr>
          <w:rFonts w:ascii="Arial" w:eastAsia="Times New Roman" w:hAnsi="Arial" w:cs="Arial"/>
          <w:color w:val="252525"/>
          <w:sz w:val="27"/>
          <w:szCs w:val="27"/>
          <w:lang w:eastAsia="zh-CN"/>
        </w:rPr>
      </w:pPr>
      <w:r w:rsidRPr="00385BDF">
        <w:rPr>
          <w:rFonts w:ascii="Arial" w:eastAsia="Times New Roman" w:hAnsi="Arial" w:cs="Arial"/>
          <w:b/>
          <w:bCs/>
          <w:color w:val="252525"/>
          <w:sz w:val="27"/>
          <w:szCs w:val="27"/>
          <w:lang w:eastAsia="zh-CN"/>
        </w:rPr>
        <w:t>Durable (Financial) Power of Attorney </w:t>
      </w:r>
      <w:r w:rsidRPr="00385BDF">
        <w:rPr>
          <w:rFonts w:ascii="Arial" w:eastAsia="Times New Roman" w:hAnsi="Arial" w:cs="Arial"/>
          <w:color w:val="252525"/>
          <w:sz w:val="27"/>
          <w:szCs w:val="27"/>
          <w:lang w:eastAsia="zh-CN"/>
        </w:rPr>
        <w:t>– </w:t>
      </w:r>
      <w:hyperlink r:id="rId31" w:tgtFrame="_blank" w:history="1">
        <w:r w:rsidRPr="00385BDF">
          <w:rPr>
            <w:rFonts w:ascii="Arial" w:eastAsia="Times New Roman" w:hAnsi="Arial" w:cs="Arial"/>
            <w:color w:val="008CDD"/>
            <w:sz w:val="27"/>
            <w:szCs w:val="27"/>
            <w:lang w:eastAsia="zh-CN"/>
          </w:rPr>
          <w:t>Title 12, Chapter 49A</w:t>
        </w:r>
      </w:hyperlink>
    </w:p>
    <w:p w14:paraId="03F17E5D" w14:textId="77777777" w:rsidR="00385BDF" w:rsidRPr="00385BDF" w:rsidRDefault="00385BDF" w:rsidP="00EC391B">
      <w:pPr>
        <w:numPr>
          <w:ilvl w:val="0"/>
          <w:numId w:val="22"/>
        </w:numPr>
        <w:shd w:val="clear" w:color="auto" w:fill="FFFFFF"/>
        <w:spacing w:line="300" w:lineRule="atLeast"/>
        <w:ind w:left="375"/>
        <w:rPr>
          <w:rFonts w:ascii="Arial" w:eastAsia="Times New Roman" w:hAnsi="Arial" w:cs="Arial"/>
          <w:color w:val="252525"/>
          <w:sz w:val="27"/>
          <w:szCs w:val="27"/>
          <w:lang w:eastAsia="zh-CN"/>
        </w:rPr>
      </w:pPr>
      <w:r w:rsidRPr="00385BDF">
        <w:rPr>
          <w:rFonts w:ascii="Arial" w:eastAsia="Times New Roman" w:hAnsi="Arial" w:cs="Arial"/>
          <w:b/>
          <w:bCs/>
          <w:color w:val="252525"/>
          <w:sz w:val="27"/>
          <w:szCs w:val="27"/>
          <w:lang w:eastAsia="zh-CN"/>
        </w:rPr>
        <w:t>Last Will and Testament </w:t>
      </w:r>
      <w:r w:rsidRPr="00385BDF">
        <w:rPr>
          <w:rFonts w:ascii="Arial" w:eastAsia="Times New Roman" w:hAnsi="Arial" w:cs="Arial"/>
          <w:color w:val="252525"/>
          <w:sz w:val="27"/>
          <w:szCs w:val="27"/>
          <w:lang w:eastAsia="zh-CN"/>
        </w:rPr>
        <w:t>– </w:t>
      </w:r>
      <w:hyperlink r:id="rId32" w:tgtFrame="_blank" w:history="1">
        <w:r w:rsidRPr="00385BDF">
          <w:rPr>
            <w:rFonts w:ascii="Arial" w:eastAsia="Times New Roman" w:hAnsi="Arial" w:cs="Arial"/>
            <w:color w:val="008CDD"/>
            <w:sz w:val="27"/>
            <w:szCs w:val="27"/>
            <w:lang w:eastAsia="zh-CN"/>
          </w:rPr>
          <w:t>Title 12, Chapter 2</w:t>
        </w:r>
      </w:hyperlink>
    </w:p>
    <w:p w14:paraId="628958C6" w14:textId="77777777" w:rsidR="00385BDF" w:rsidRPr="00385BDF" w:rsidRDefault="00385BDF" w:rsidP="00EC391B">
      <w:pPr>
        <w:numPr>
          <w:ilvl w:val="0"/>
          <w:numId w:val="22"/>
        </w:numPr>
        <w:shd w:val="clear" w:color="auto" w:fill="FFFFFF"/>
        <w:spacing w:line="300" w:lineRule="atLeast"/>
        <w:ind w:left="375"/>
        <w:rPr>
          <w:rFonts w:ascii="Helvetica" w:eastAsia="Times New Roman" w:hAnsi="Helvetica" w:cs="Times New Roman"/>
          <w:color w:val="252525"/>
          <w:sz w:val="23"/>
          <w:szCs w:val="23"/>
          <w:lang w:eastAsia="zh-CN"/>
        </w:rPr>
      </w:pPr>
      <w:r w:rsidRPr="00385BDF">
        <w:rPr>
          <w:rFonts w:ascii="Arial" w:eastAsia="Times New Roman" w:hAnsi="Arial" w:cs="Arial"/>
          <w:b/>
          <w:bCs/>
          <w:color w:val="252525"/>
          <w:sz w:val="27"/>
          <w:szCs w:val="27"/>
          <w:lang w:eastAsia="zh-CN"/>
        </w:rPr>
        <w:t>Revocable Living Trust </w:t>
      </w:r>
      <w:r w:rsidRPr="00385BDF">
        <w:rPr>
          <w:rFonts w:ascii="Arial" w:eastAsia="Times New Roman" w:hAnsi="Arial" w:cs="Arial"/>
          <w:color w:val="252525"/>
          <w:sz w:val="27"/>
          <w:szCs w:val="27"/>
          <w:lang w:eastAsia="zh-CN"/>
        </w:rPr>
        <w:t>– </w:t>
      </w:r>
      <w:hyperlink r:id="rId33" w:tgtFrame="_blank" w:history="1">
        <w:r w:rsidRPr="00385BDF">
          <w:rPr>
            <w:rFonts w:ascii="Arial" w:eastAsia="Times New Roman" w:hAnsi="Arial" w:cs="Arial"/>
            <w:color w:val="008CDD"/>
            <w:sz w:val="27"/>
            <w:szCs w:val="27"/>
            <w:lang w:eastAsia="zh-CN"/>
          </w:rPr>
          <w:t>Title 12, Chapter 35</w:t>
        </w:r>
      </w:hyperlink>
    </w:p>
    <w:p w14:paraId="4450D990" w14:textId="77777777" w:rsidR="00BD7843" w:rsidRPr="00F3581B" w:rsidRDefault="00BD7843">
      <w:pPr>
        <w:rPr>
          <w:rFonts w:ascii="Arial" w:hAnsi="Arial" w:cs="Arial"/>
          <w:sz w:val="27"/>
          <w:szCs w:val="27"/>
        </w:rPr>
      </w:pPr>
      <w:bookmarkStart w:id="0" w:name="_GoBack"/>
      <w:bookmarkEnd w:id="0"/>
    </w:p>
    <w:sectPr w:rsidR="00BD7843" w:rsidRPr="00F3581B" w:rsidSect="00F052B0">
      <w:footerReference w:type="default" r:id="rId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DCE56" w14:textId="77777777" w:rsidR="00FD56E5" w:rsidRDefault="00FD56E5" w:rsidP="00BF757D">
      <w:r>
        <w:separator/>
      </w:r>
    </w:p>
  </w:endnote>
  <w:endnote w:type="continuationSeparator" w:id="0">
    <w:p w14:paraId="608DCD0F" w14:textId="77777777" w:rsidR="00FD56E5" w:rsidRDefault="00FD56E5" w:rsidP="00BF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EBEF2" w14:textId="77777777" w:rsidR="00A4454C" w:rsidRPr="00BE4C06" w:rsidRDefault="00A4454C" w:rsidP="00A4454C">
    <w:pPr>
      <w:pStyle w:val="Footer"/>
      <w:framePr w:w="1941" w:wrap="none" w:vAnchor="text" w:hAnchor="page" w:x="9221" w:y="128"/>
      <w:jc w:val="right"/>
      <w:rPr>
        <w:rStyle w:val="PageNumber"/>
        <w:rFonts w:ascii="Arial" w:hAnsi="Arial" w:cs="Arial"/>
        <w:u w:val="single"/>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FD56E5">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FD56E5">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74CEE753" w14:textId="1BC79C7E" w:rsidR="00A4454C" w:rsidRPr="00A4454C" w:rsidRDefault="00A4454C" w:rsidP="00A4454C">
    <w:pPr>
      <w:pStyle w:val="Footer"/>
      <w:tabs>
        <w:tab w:val="clear" w:pos="4680"/>
        <w:tab w:val="clear" w:pos="9360"/>
        <w:tab w:val="left" w:pos="6180"/>
      </w:tabs>
      <w:ind w:right="360"/>
      <w:rPr>
        <w:rFonts w:ascii="Arial" w:hAnsi="Arial" w:cs="Arial"/>
      </w:rPr>
    </w:pPr>
    <w:r w:rsidRPr="00BE4C06">
      <w:rPr>
        <w:rStyle w:val="Hyperlink"/>
        <w:rFonts w:cs="Arial"/>
        <w:noProof/>
        <w:lang w:eastAsia="zh-CN"/>
      </w:rPr>
      <w:drawing>
        <wp:inline distT="0" distB="0" distL="0" distR="0" wp14:anchorId="6CB88556" wp14:editId="7DE02A6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E4C06">
      <w:rPr>
        <w:rFonts w:ascii="Arial" w:hAnsi="Arial" w:cs="Arial"/>
      </w:rPr>
      <w:t xml:space="preserve"> </w:t>
    </w:r>
    <w:r w:rsidRPr="00BE4C06">
      <w:rPr>
        <w:rFonts w:ascii="Arial" w:hAnsi="Arial" w:cs="Aria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641F6" w14:textId="77777777" w:rsidR="00FD56E5" w:rsidRDefault="00FD56E5" w:rsidP="00BF757D">
      <w:r>
        <w:separator/>
      </w:r>
    </w:p>
  </w:footnote>
  <w:footnote w:type="continuationSeparator" w:id="0">
    <w:p w14:paraId="50D7D916" w14:textId="77777777" w:rsidR="00FD56E5" w:rsidRDefault="00FD56E5" w:rsidP="00BF75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D5433"/>
    <w:multiLevelType w:val="multilevel"/>
    <w:tmpl w:val="05F0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31291"/>
    <w:multiLevelType w:val="multilevel"/>
    <w:tmpl w:val="DCA2B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F5216"/>
    <w:multiLevelType w:val="multilevel"/>
    <w:tmpl w:val="C35C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94B1C"/>
    <w:multiLevelType w:val="multilevel"/>
    <w:tmpl w:val="5794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037C0"/>
    <w:multiLevelType w:val="multilevel"/>
    <w:tmpl w:val="1D7C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4107E"/>
    <w:multiLevelType w:val="multilevel"/>
    <w:tmpl w:val="CF76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EF468B"/>
    <w:multiLevelType w:val="multilevel"/>
    <w:tmpl w:val="27AC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C86B99"/>
    <w:multiLevelType w:val="multilevel"/>
    <w:tmpl w:val="47B2C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DD2314"/>
    <w:multiLevelType w:val="multilevel"/>
    <w:tmpl w:val="E31E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CB7D53"/>
    <w:multiLevelType w:val="multilevel"/>
    <w:tmpl w:val="4CF4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53732C"/>
    <w:multiLevelType w:val="multilevel"/>
    <w:tmpl w:val="65E6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F20DBA"/>
    <w:multiLevelType w:val="multilevel"/>
    <w:tmpl w:val="AF9A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BD2444"/>
    <w:multiLevelType w:val="multilevel"/>
    <w:tmpl w:val="028C1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D54D26"/>
    <w:multiLevelType w:val="multilevel"/>
    <w:tmpl w:val="026EB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6E0D26"/>
    <w:multiLevelType w:val="multilevel"/>
    <w:tmpl w:val="4920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5D1061"/>
    <w:multiLevelType w:val="multilevel"/>
    <w:tmpl w:val="1A2A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EA04F9"/>
    <w:multiLevelType w:val="multilevel"/>
    <w:tmpl w:val="D2BC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357B45"/>
    <w:multiLevelType w:val="multilevel"/>
    <w:tmpl w:val="91001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211AE0"/>
    <w:multiLevelType w:val="multilevel"/>
    <w:tmpl w:val="924CD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92640D"/>
    <w:multiLevelType w:val="multilevel"/>
    <w:tmpl w:val="19D0B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8E3740"/>
    <w:multiLevelType w:val="multilevel"/>
    <w:tmpl w:val="854A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BF357D"/>
    <w:multiLevelType w:val="multilevel"/>
    <w:tmpl w:val="9208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4"/>
  </w:num>
  <w:num w:numId="4">
    <w:abstractNumId w:val="8"/>
  </w:num>
  <w:num w:numId="5">
    <w:abstractNumId w:val="19"/>
  </w:num>
  <w:num w:numId="6">
    <w:abstractNumId w:val="12"/>
  </w:num>
  <w:num w:numId="7">
    <w:abstractNumId w:val="16"/>
  </w:num>
  <w:num w:numId="8">
    <w:abstractNumId w:val="4"/>
  </w:num>
  <w:num w:numId="9">
    <w:abstractNumId w:val="20"/>
  </w:num>
  <w:num w:numId="10">
    <w:abstractNumId w:val="13"/>
  </w:num>
  <w:num w:numId="11">
    <w:abstractNumId w:val="1"/>
  </w:num>
  <w:num w:numId="12">
    <w:abstractNumId w:val="10"/>
  </w:num>
  <w:num w:numId="13">
    <w:abstractNumId w:val="5"/>
  </w:num>
  <w:num w:numId="14">
    <w:abstractNumId w:val="15"/>
  </w:num>
  <w:num w:numId="15">
    <w:abstractNumId w:val="18"/>
  </w:num>
  <w:num w:numId="16">
    <w:abstractNumId w:val="3"/>
  </w:num>
  <w:num w:numId="17">
    <w:abstractNumId w:val="7"/>
  </w:num>
  <w:num w:numId="18">
    <w:abstractNumId w:val="11"/>
  </w:num>
  <w:num w:numId="19">
    <w:abstractNumId w:val="6"/>
  </w:num>
  <w:num w:numId="20">
    <w:abstractNumId w:val="2"/>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DA"/>
    <w:rsid w:val="00385BDF"/>
    <w:rsid w:val="007A48D8"/>
    <w:rsid w:val="009934DA"/>
    <w:rsid w:val="00A4454C"/>
    <w:rsid w:val="00BD7843"/>
    <w:rsid w:val="00BF3456"/>
    <w:rsid w:val="00BF4A7E"/>
    <w:rsid w:val="00BF757D"/>
    <w:rsid w:val="00E30B1B"/>
    <w:rsid w:val="00EC391B"/>
    <w:rsid w:val="00EE1D22"/>
    <w:rsid w:val="00F052B0"/>
    <w:rsid w:val="00F3581B"/>
    <w:rsid w:val="00F41EBB"/>
    <w:rsid w:val="00FD4A79"/>
    <w:rsid w:val="00FD5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5EDA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757D"/>
    <w:pPr>
      <w:spacing w:before="100" w:beforeAutospacing="1" w:after="100" w:afterAutospacing="1"/>
      <w:outlineLvl w:val="0"/>
    </w:pPr>
    <w:rPr>
      <w:rFonts w:ascii="Times New Roman" w:hAnsi="Times New Roman" w:cs="Times New Roman"/>
      <w:b/>
      <w:bCs/>
      <w:kern w:val="36"/>
      <w:sz w:val="48"/>
      <w:szCs w:val="48"/>
      <w:lang w:eastAsia="zh-CN"/>
    </w:rPr>
  </w:style>
  <w:style w:type="paragraph" w:styleId="Heading3">
    <w:name w:val="heading 3"/>
    <w:basedOn w:val="Normal"/>
    <w:link w:val="Heading3Char"/>
    <w:uiPriority w:val="9"/>
    <w:qFormat/>
    <w:rsid w:val="00BF757D"/>
    <w:pPr>
      <w:spacing w:before="100" w:beforeAutospacing="1" w:after="100" w:afterAutospacing="1"/>
      <w:outlineLvl w:val="2"/>
    </w:pPr>
    <w:rPr>
      <w:rFonts w:ascii="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D22"/>
    <w:rPr>
      <w:rFonts w:ascii="Arial" w:hAnsi="Arial"/>
      <w:color w:val="000000" w:themeColor="text1"/>
      <w:u w:val="none"/>
    </w:rPr>
  </w:style>
  <w:style w:type="paragraph" w:styleId="Header">
    <w:name w:val="header"/>
    <w:basedOn w:val="Normal"/>
    <w:link w:val="HeaderChar"/>
    <w:uiPriority w:val="99"/>
    <w:unhideWhenUsed/>
    <w:rsid w:val="00BF757D"/>
    <w:pPr>
      <w:tabs>
        <w:tab w:val="center" w:pos="4680"/>
        <w:tab w:val="right" w:pos="9360"/>
      </w:tabs>
    </w:pPr>
  </w:style>
  <w:style w:type="character" w:customStyle="1" w:styleId="HeaderChar">
    <w:name w:val="Header Char"/>
    <w:basedOn w:val="DefaultParagraphFont"/>
    <w:link w:val="Header"/>
    <w:uiPriority w:val="99"/>
    <w:rsid w:val="00BF757D"/>
  </w:style>
  <w:style w:type="paragraph" w:styleId="Footer">
    <w:name w:val="footer"/>
    <w:basedOn w:val="Normal"/>
    <w:link w:val="FooterChar"/>
    <w:uiPriority w:val="99"/>
    <w:unhideWhenUsed/>
    <w:rsid w:val="00BF757D"/>
    <w:pPr>
      <w:tabs>
        <w:tab w:val="center" w:pos="4680"/>
        <w:tab w:val="right" w:pos="9360"/>
      </w:tabs>
    </w:pPr>
  </w:style>
  <w:style w:type="character" w:customStyle="1" w:styleId="FooterChar">
    <w:name w:val="Footer Char"/>
    <w:basedOn w:val="DefaultParagraphFont"/>
    <w:link w:val="Footer"/>
    <w:uiPriority w:val="99"/>
    <w:rsid w:val="00BF757D"/>
  </w:style>
  <w:style w:type="character" w:customStyle="1" w:styleId="Heading1Char">
    <w:name w:val="Heading 1 Char"/>
    <w:basedOn w:val="DefaultParagraphFont"/>
    <w:link w:val="Heading1"/>
    <w:uiPriority w:val="9"/>
    <w:rsid w:val="00BF757D"/>
    <w:rPr>
      <w:rFonts w:ascii="Times New Roman" w:hAnsi="Times New Roman" w:cs="Times New Roman"/>
      <w:b/>
      <w:bCs/>
      <w:kern w:val="36"/>
      <w:sz w:val="48"/>
      <w:szCs w:val="48"/>
      <w:lang w:eastAsia="zh-CN"/>
    </w:rPr>
  </w:style>
  <w:style w:type="character" w:customStyle="1" w:styleId="Heading3Char">
    <w:name w:val="Heading 3 Char"/>
    <w:basedOn w:val="DefaultParagraphFont"/>
    <w:link w:val="Heading3"/>
    <w:uiPriority w:val="9"/>
    <w:rsid w:val="00BF757D"/>
    <w:rPr>
      <w:rFonts w:ascii="Times New Roman" w:hAnsi="Times New Roman" w:cs="Times New Roman"/>
      <w:b/>
      <w:bCs/>
      <w:sz w:val="27"/>
      <w:szCs w:val="27"/>
      <w:lang w:eastAsia="zh-CN"/>
    </w:rPr>
  </w:style>
  <w:style w:type="paragraph" w:styleId="NormalWeb">
    <w:name w:val="Normal (Web)"/>
    <w:basedOn w:val="Normal"/>
    <w:uiPriority w:val="99"/>
    <w:semiHidden/>
    <w:unhideWhenUsed/>
    <w:rsid w:val="00BF757D"/>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BF757D"/>
    <w:rPr>
      <w:b/>
      <w:bCs/>
    </w:rPr>
  </w:style>
  <w:style w:type="character" w:styleId="PageNumber">
    <w:name w:val="page number"/>
    <w:basedOn w:val="DefaultParagraphFont"/>
    <w:uiPriority w:val="99"/>
    <w:rsid w:val="00A4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664763">
      <w:bodyDiv w:val="1"/>
      <w:marLeft w:val="0"/>
      <w:marRight w:val="0"/>
      <w:marTop w:val="0"/>
      <w:marBottom w:val="0"/>
      <w:divBdr>
        <w:top w:val="none" w:sz="0" w:space="0" w:color="auto"/>
        <w:left w:val="none" w:sz="0" w:space="0" w:color="auto"/>
        <w:bottom w:val="none" w:sz="0" w:space="0" w:color="auto"/>
        <w:right w:val="none" w:sz="0" w:space="0" w:color="auto"/>
      </w:divBdr>
    </w:div>
    <w:div w:id="1058942778">
      <w:bodyDiv w:val="1"/>
      <w:marLeft w:val="0"/>
      <w:marRight w:val="0"/>
      <w:marTop w:val="0"/>
      <w:marBottom w:val="0"/>
      <w:divBdr>
        <w:top w:val="none" w:sz="0" w:space="0" w:color="auto"/>
        <w:left w:val="none" w:sz="0" w:space="0" w:color="auto"/>
        <w:bottom w:val="none" w:sz="0" w:space="0" w:color="auto"/>
        <w:right w:val="none" w:sz="0" w:space="0" w:color="auto"/>
      </w:divBdr>
      <w:divsChild>
        <w:div w:id="1619069923">
          <w:marLeft w:val="0"/>
          <w:marRight w:val="0"/>
          <w:marTop w:val="0"/>
          <w:marBottom w:val="0"/>
          <w:divBdr>
            <w:top w:val="none" w:sz="0" w:space="0" w:color="auto"/>
            <w:left w:val="none" w:sz="0" w:space="0" w:color="auto"/>
            <w:bottom w:val="none" w:sz="0" w:space="0" w:color="auto"/>
            <w:right w:val="none" w:sz="0" w:space="0" w:color="auto"/>
          </w:divBdr>
          <w:divsChild>
            <w:div w:id="28799850">
              <w:marLeft w:val="0"/>
              <w:marRight w:val="0"/>
              <w:marTop w:val="0"/>
              <w:marBottom w:val="0"/>
              <w:divBdr>
                <w:top w:val="none" w:sz="0" w:space="0" w:color="auto"/>
                <w:left w:val="none" w:sz="0" w:space="0" w:color="auto"/>
                <w:bottom w:val="none" w:sz="0" w:space="0" w:color="auto"/>
                <w:right w:val="none" w:sz="0" w:space="0" w:color="auto"/>
              </w:divBdr>
              <w:divsChild>
                <w:div w:id="793331739">
                  <w:marLeft w:val="0"/>
                  <w:marRight w:val="0"/>
                  <w:marTop w:val="0"/>
                  <w:marBottom w:val="0"/>
                  <w:divBdr>
                    <w:top w:val="none" w:sz="0" w:space="0" w:color="auto"/>
                    <w:left w:val="none" w:sz="0" w:space="0" w:color="auto"/>
                    <w:bottom w:val="none" w:sz="0" w:space="0" w:color="auto"/>
                    <w:right w:val="none" w:sz="0" w:space="0" w:color="auto"/>
                  </w:divBdr>
                  <w:divsChild>
                    <w:div w:id="782269230">
                      <w:marLeft w:val="0"/>
                      <w:marRight w:val="0"/>
                      <w:marTop w:val="0"/>
                      <w:marBottom w:val="0"/>
                      <w:divBdr>
                        <w:top w:val="none" w:sz="0" w:space="0" w:color="auto"/>
                        <w:left w:val="none" w:sz="0" w:space="0" w:color="auto"/>
                        <w:bottom w:val="none" w:sz="0" w:space="0" w:color="auto"/>
                        <w:right w:val="none" w:sz="0" w:space="0" w:color="auto"/>
                      </w:divBdr>
                    </w:div>
                  </w:divsChild>
                </w:div>
                <w:div w:id="1402947706">
                  <w:marLeft w:val="300"/>
                  <w:marRight w:val="0"/>
                  <w:marTop w:val="0"/>
                  <w:marBottom w:val="0"/>
                  <w:divBdr>
                    <w:top w:val="none" w:sz="0" w:space="0" w:color="auto"/>
                    <w:left w:val="none" w:sz="0" w:space="0" w:color="auto"/>
                    <w:bottom w:val="none" w:sz="0" w:space="0" w:color="auto"/>
                    <w:right w:val="none" w:sz="0" w:space="0" w:color="auto"/>
                  </w:divBdr>
                  <w:divsChild>
                    <w:div w:id="2128769151">
                      <w:marLeft w:val="0"/>
                      <w:marRight w:val="0"/>
                      <w:marTop w:val="0"/>
                      <w:marBottom w:val="0"/>
                      <w:divBdr>
                        <w:top w:val="none" w:sz="0" w:space="0" w:color="auto"/>
                        <w:left w:val="none" w:sz="0" w:space="0" w:color="auto"/>
                        <w:bottom w:val="none" w:sz="0" w:space="0" w:color="auto"/>
                        <w:right w:val="none" w:sz="0" w:space="0" w:color="auto"/>
                      </w:divBdr>
                      <w:divsChild>
                        <w:div w:id="1539051740">
                          <w:marLeft w:val="0"/>
                          <w:marRight w:val="0"/>
                          <w:marTop w:val="150"/>
                          <w:marBottom w:val="150"/>
                          <w:divBdr>
                            <w:top w:val="none" w:sz="0" w:space="0" w:color="auto"/>
                            <w:left w:val="none" w:sz="0" w:space="0" w:color="auto"/>
                            <w:bottom w:val="none" w:sz="0" w:space="0" w:color="auto"/>
                            <w:right w:val="none" w:sz="0" w:space="0" w:color="auto"/>
                          </w:divBdr>
                        </w:div>
                        <w:div w:id="1150446083">
                          <w:marLeft w:val="0"/>
                          <w:marRight w:val="0"/>
                          <w:marTop w:val="300"/>
                          <w:marBottom w:val="300"/>
                          <w:divBdr>
                            <w:top w:val="none" w:sz="0" w:space="0" w:color="auto"/>
                            <w:left w:val="none" w:sz="0" w:space="0" w:color="auto"/>
                            <w:bottom w:val="none" w:sz="0" w:space="0" w:color="auto"/>
                            <w:right w:val="none" w:sz="0" w:space="0" w:color="auto"/>
                          </w:divBdr>
                          <w:divsChild>
                            <w:div w:id="1483350484">
                              <w:marLeft w:val="0"/>
                              <w:marRight w:val="0"/>
                              <w:marTop w:val="0"/>
                              <w:marBottom w:val="0"/>
                              <w:divBdr>
                                <w:top w:val="none" w:sz="0" w:space="0" w:color="auto"/>
                                <w:left w:val="none" w:sz="0" w:space="0" w:color="auto"/>
                                <w:bottom w:val="none" w:sz="0" w:space="0" w:color="auto"/>
                                <w:right w:val="none" w:sz="0" w:space="0" w:color="auto"/>
                              </w:divBdr>
                            </w:div>
                          </w:divsChild>
                        </w:div>
                        <w:div w:id="1694651083">
                          <w:marLeft w:val="0"/>
                          <w:marRight w:val="0"/>
                          <w:marTop w:val="300"/>
                          <w:marBottom w:val="300"/>
                          <w:divBdr>
                            <w:top w:val="none" w:sz="0" w:space="0" w:color="auto"/>
                            <w:left w:val="none" w:sz="0" w:space="0" w:color="auto"/>
                            <w:bottom w:val="none" w:sz="0" w:space="0" w:color="auto"/>
                            <w:right w:val="none" w:sz="0" w:space="0" w:color="auto"/>
                          </w:divBdr>
                          <w:divsChild>
                            <w:div w:id="1825853682">
                              <w:marLeft w:val="0"/>
                              <w:marRight w:val="0"/>
                              <w:marTop w:val="0"/>
                              <w:marBottom w:val="0"/>
                              <w:divBdr>
                                <w:top w:val="none" w:sz="0" w:space="0" w:color="auto"/>
                                <w:left w:val="none" w:sz="0" w:space="0" w:color="auto"/>
                                <w:bottom w:val="none" w:sz="0" w:space="0" w:color="auto"/>
                                <w:right w:val="none" w:sz="0" w:space="0" w:color="auto"/>
                              </w:divBdr>
                              <w:divsChild>
                                <w:div w:id="1612667036">
                                  <w:marLeft w:val="0"/>
                                  <w:marRight w:val="0"/>
                                  <w:marTop w:val="0"/>
                                  <w:marBottom w:val="0"/>
                                  <w:divBdr>
                                    <w:top w:val="none" w:sz="0" w:space="0" w:color="auto"/>
                                    <w:left w:val="none" w:sz="0" w:space="0" w:color="auto"/>
                                    <w:bottom w:val="none" w:sz="0" w:space="0" w:color="auto"/>
                                    <w:right w:val="none" w:sz="0" w:space="0" w:color="auto"/>
                                  </w:divBdr>
                                  <w:divsChild>
                                    <w:div w:id="1733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98239">
                          <w:marLeft w:val="0"/>
                          <w:marRight w:val="0"/>
                          <w:marTop w:val="300"/>
                          <w:marBottom w:val="300"/>
                          <w:divBdr>
                            <w:top w:val="none" w:sz="0" w:space="0" w:color="auto"/>
                            <w:left w:val="none" w:sz="0" w:space="0" w:color="auto"/>
                            <w:bottom w:val="none" w:sz="0" w:space="0" w:color="auto"/>
                            <w:right w:val="none" w:sz="0" w:space="0" w:color="auto"/>
                          </w:divBdr>
                          <w:divsChild>
                            <w:div w:id="15580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005">
          <w:marLeft w:val="0"/>
          <w:marRight w:val="0"/>
          <w:marTop w:val="0"/>
          <w:marBottom w:val="0"/>
          <w:divBdr>
            <w:top w:val="none" w:sz="0" w:space="0" w:color="auto"/>
            <w:left w:val="none" w:sz="0" w:space="0" w:color="auto"/>
            <w:bottom w:val="none" w:sz="0" w:space="0" w:color="auto"/>
            <w:right w:val="none" w:sz="0" w:space="0" w:color="auto"/>
          </w:divBdr>
          <w:divsChild>
            <w:div w:id="416563447">
              <w:marLeft w:val="0"/>
              <w:marRight w:val="0"/>
              <w:marTop w:val="0"/>
              <w:marBottom w:val="0"/>
              <w:divBdr>
                <w:top w:val="none" w:sz="0" w:space="0" w:color="auto"/>
                <w:left w:val="none" w:sz="0" w:space="0" w:color="auto"/>
                <w:bottom w:val="none" w:sz="0" w:space="0" w:color="auto"/>
                <w:right w:val="none" w:sz="0" w:space="0" w:color="auto"/>
              </w:divBdr>
              <w:divsChild>
                <w:div w:id="20862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55366">
      <w:bodyDiv w:val="1"/>
      <w:marLeft w:val="0"/>
      <w:marRight w:val="0"/>
      <w:marTop w:val="0"/>
      <w:marBottom w:val="0"/>
      <w:divBdr>
        <w:top w:val="none" w:sz="0" w:space="0" w:color="auto"/>
        <w:left w:val="none" w:sz="0" w:space="0" w:color="auto"/>
        <w:bottom w:val="none" w:sz="0" w:space="0" w:color="auto"/>
        <w:right w:val="none" w:sz="0" w:space="0" w:color="auto"/>
      </w:divBdr>
    </w:div>
    <w:div w:id="1571650264">
      <w:bodyDiv w:val="1"/>
      <w:marLeft w:val="0"/>
      <w:marRight w:val="0"/>
      <w:marTop w:val="0"/>
      <w:marBottom w:val="0"/>
      <w:divBdr>
        <w:top w:val="none" w:sz="0" w:space="0" w:color="auto"/>
        <w:left w:val="none" w:sz="0" w:space="0" w:color="auto"/>
        <w:bottom w:val="none" w:sz="0" w:space="0" w:color="auto"/>
        <w:right w:val="none" w:sz="0" w:space="0" w:color="auto"/>
      </w:divBdr>
    </w:div>
    <w:div w:id="1595163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delcode.delaware.gov/title12/c049a/sc02/index.shtml" TargetMode="External"/><Relationship Id="rId21" Type="http://schemas.openxmlformats.org/officeDocument/2006/relationships/hyperlink" Target="http://delcode.delaware.gov/title12/c049a/sc02/index.shtml" TargetMode="External"/><Relationship Id="rId22" Type="http://schemas.openxmlformats.org/officeDocument/2006/relationships/hyperlink" Target="http://delcode.delaware.gov/title12/c049a/sc02/index.shtml" TargetMode="External"/><Relationship Id="rId23" Type="http://schemas.openxmlformats.org/officeDocument/2006/relationships/hyperlink" Target="http://delcode.delaware.gov/title12/c049a/sc02/index.shtml" TargetMode="External"/><Relationship Id="rId24" Type="http://schemas.openxmlformats.org/officeDocument/2006/relationships/hyperlink" Target="http://delcode.delaware.gov/title12/c049a/sc02/index.shtml" TargetMode="External"/><Relationship Id="rId25" Type="http://schemas.openxmlformats.org/officeDocument/2006/relationships/hyperlink" Target="https://eforms.com/estate-planning/current-assets-list/" TargetMode="External"/><Relationship Id="rId26" Type="http://schemas.openxmlformats.org/officeDocument/2006/relationships/hyperlink" Target="https://eforms.com/wills/delaware-last-will-and-testament-template/" TargetMode="External"/><Relationship Id="rId27" Type="http://schemas.openxmlformats.org/officeDocument/2006/relationships/hyperlink" Target="http://delcode.delaware.gov/title12/c002/sc01/index.shtml" TargetMode="External"/><Relationship Id="rId28" Type="http://schemas.openxmlformats.org/officeDocument/2006/relationships/hyperlink" Target="https://eforms.com/living-trust/de/delaware-revocable-living-trust-form/" TargetMode="External"/><Relationship Id="rId29" Type="http://schemas.openxmlformats.org/officeDocument/2006/relationships/hyperlink" Target="http://delcode.delaware.gov/title12/c035/sc03/index.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delcode.delaware.gov/title16/c025/" TargetMode="External"/><Relationship Id="rId31" Type="http://schemas.openxmlformats.org/officeDocument/2006/relationships/hyperlink" Target="http://delcode.delaware.gov/title12/c049a/sc01/index.shtml" TargetMode="External"/><Relationship Id="rId32" Type="http://schemas.openxmlformats.org/officeDocument/2006/relationships/hyperlink" Target="http://delcode.delaware.gov/title12/c002/index.shtml" TargetMode="External"/><Relationship Id="rId9" Type="http://schemas.openxmlformats.org/officeDocument/2006/relationships/hyperlink" Target="https://eforms.com/power-of-attorney/de/delaware-durable-power-of-attorney/" TargetMode="External"/><Relationship Id="rId6" Type="http://schemas.openxmlformats.org/officeDocument/2006/relationships/endnotes" Target="endnotes.xml"/><Relationship Id="rId7" Type="http://schemas.openxmlformats.org/officeDocument/2006/relationships/hyperlink" Target="https://eforms.com/power-of-attorney/de/delaware-advance-health-care-directive/" TargetMode="External"/><Relationship Id="rId8" Type="http://schemas.openxmlformats.org/officeDocument/2006/relationships/hyperlink" Target="http://delcode.delaware.gov/title16/c025/" TargetMode="External"/><Relationship Id="rId33" Type="http://schemas.openxmlformats.org/officeDocument/2006/relationships/hyperlink" Target="http://delcode.delaware.gov/title12/c035/index.shtml" TargetMode="Externa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delcode.delaware.gov/title12/c049a/sc01/index.shtml" TargetMode="External"/><Relationship Id="rId11" Type="http://schemas.openxmlformats.org/officeDocument/2006/relationships/hyperlink" Target="http://delcode.delaware.gov/title12/c049a/sc02/index.shtml" TargetMode="External"/><Relationship Id="rId12" Type="http://schemas.openxmlformats.org/officeDocument/2006/relationships/hyperlink" Target="http://delcode.delaware.gov/title12/c049a/sc02/index.shtml" TargetMode="External"/><Relationship Id="rId13" Type="http://schemas.openxmlformats.org/officeDocument/2006/relationships/hyperlink" Target="http://delcode.delaware.gov/title12/c049a/sc02/index.shtml" TargetMode="External"/><Relationship Id="rId14" Type="http://schemas.openxmlformats.org/officeDocument/2006/relationships/hyperlink" Target="http://delcode.delaware.gov/title12/c049a/sc02/index.shtml" TargetMode="External"/><Relationship Id="rId15" Type="http://schemas.openxmlformats.org/officeDocument/2006/relationships/hyperlink" Target="http://delcode.delaware.gov/title12/c049a/sc02/index.shtml" TargetMode="External"/><Relationship Id="rId16" Type="http://schemas.openxmlformats.org/officeDocument/2006/relationships/hyperlink" Target="http://delcode.delaware.gov/title12/c049a/sc02/index.shtml" TargetMode="External"/><Relationship Id="rId17" Type="http://schemas.openxmlformats.org/officeDocument/2006/relationships/hyperlink" Target="http://delcode.delaware.gov/title12/c049a/sc02/index.shtml" TargetMode="External"/><Relationship Id="rId18" Type="http://schemas.openxmlformats.org/officeDocument/2006/relationships/hyperlink" Target="http://delcode.delaware.gov/title12/c049a/sc02/index.shtml" TargetMode="External"/><Relationship Id="rId19" Type="http://schemas.openxmlformats.org/officeDocument/2006/relationships/hyperlink" Target="http://delcode.delaware.gov/title12/c049a/sc02/index.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1456</Words>
  <Characters>7823</Characters>
  <Application>Microsoft Macintosh Word</Application>
  <DocSecurity>0</DocSecurity>
  <Lines>156</Lines>
  <Paragraphs>79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Delaware Estate Planning Checklist</vt:lpstr>
      <vt:lpstr>        Step 1 – Elect a Health Care Agent</vt:lpstr>
      <vt:lpstr>        Step 2 – Elect a Financial Agent</vt:lpstr>
      <vt:lpstr>        Step 3 – List Current Assets of the Estate</vt:lpstr>
      <vt:lpstr>        Step 4 – Communicate with the Beneficiaries</vt:lpstr>
      <vt:lpstr>        Step 5 – Make an Estate Distribution Document</vt:lpstr>
      <vt:lpstr>        Step 6 – Copy and Store Document</vt:lpstr>
      <vt:lpstr>Delaware Estate Planning Laws</vt:lpstr>
    </vt:vector>
  </TitlesOfParts>
  <Manager/>
  <Company/>
  <LinksUpToDate>false</LinksUpToDate>
  <CharactersWithSpaces>9200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Estate Planning Checklist</dc:title>
  <dc:subject/>
  <dc:creator>eForms</dc:creator>
  <cp:keywords/>
  <dc:description/>
  <cp:lastModifiedBy>Corbin Steele</cp:lastModifiedBy>
  <cp:revision>6</cp:revision>
  <dcterms:created xsi:type="dcterms:W3CDTF">2018-11-29T20:31:00Z</dcterms:created>
  <dcterms:modified xsi:type="dcterms:W3CDTF">2018-12-14T17:17:00Z</dcterms:modified>
  <cp:category/>
</cp:coreProperties>
</file>