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36FFA" w14:textId="53390B08" w:rsidR="007E6892" w:rsidRDefault="007E6892" w:rsidP="00F57A42">
      <w:pPr>
        <w:spacing w:before="100" w:after="100"/>
        <w:jc w:val="center"/>
        <w:rPr>
          <w:rFonts w:ascii="Arial" w:hAnsi="Arial" w:cs="Arial"/>
          <w:b/>
          <w:bCs/>
          <w:sz w:val="36"/>
          <w:szCs w:val="36"/>
          <w:lang w:val="en-CA"/>
        </w:rPr>
      </w:pPr>
      <w:r>
        <w:rPr>
          <w:rFonts w:ascii="Arial" w:hAnsi="Arial" w:cs="Arial"/>
          <w:b/>
          <w:bCs/>
          <w:sz w:val="36"/>
          <w:szCs w:val="36"/>
          <w:lang w:val="en-CA"/>
        </w:rPr>
        <w:t>GEORGIA ESTATE PLANNING CHECKLIST</w:t>
      </w:r>
    </w:p>
    <w:p w14:paraId="4E690D51" w14:textId="77777777" w:rsidR="00C52F9B" w:rsidRPr="00C52F9B" w:rsidRDefault="00C52F9B" w:rsidP="00F57A42">
      <w:pPr>
        <w:spacing w:before="100" w:after="100"/>
        <w:rPr>
          <w:rFonts w:ascii="Arial" w:hAnsi="Arial" w:cs="Arial"/>
          <w:b/>
          <w:bCs/>
          <w:sz w:val="27"/>
          <w:szCs w:val="27"/>
          <w:lang w:val="en-CA"/>
        </w:rPr>
      </w:pPr>
    </w:p>
    <w:p w14:paraId="5D1FA6DC" w14:textId="77777777" w:rsidR="000C13BC" w:rsidRPr="000C13BC" w:rsidRDefault="000C13BC" w:rsidP="000C13BC">
      <w:pPr>
        <w:shd w:val="clear" w:color="auto" w:fill="FFFFFF"/>
        <w:spacing w:before="200" w:after="200"/>
        <w:rPr>
          <w:rFonts w:ascii="Arial" w:hAnsi="Arial" w:cs="Arial"/>
          <w:color w:val="252525"/>
          <w:sz w:val="27"/>
          <w:szCs w:val="27"/>
          <w:lang w:eastAsia="zh-CN"/>
        </w:rPr>
      </w:pPr>
      <w:r w:rsidRPr="000C13BC">
        <w:rPr>
          <w:rFonts w:ascii="Arial" w:hAnsi="Arial" w:cs="Arial"/>
          <w:color w:val="252525"/>
          <w:sz w:val="27"/>
          <w:szCs w:val="27"/>
          <w:lang w:eastAsia="zh-CN"/>
        </w:rPr>
        <w:t>The information provided in the guide below will assist individuals through the Georgia estate planning process to ensure that their interests are communicated as they approach the later stages of life.</w:t>
      </w:r>
    </w:p>
    <w:p w14:paraId="22512336" w14:textId="77777777" w:rsidR="000C13BC" w:rsidRPr="000C13BC" w:rsidRDefault="000C13BC" w:rsidP="000C13BC">
      <w:pPr>
        <w:shd w:val="clear" w:color="auto" w:fill="FFFFFF"/>
        <w:spacing w:before="200" w:after="200" w:line="360" w:lineRule="atLeast"/>
        <w:outlineLvl w:val="2"/>
        <w:rPr>
          <w:rFonts w:ascii="Arial" w:eastAsia="Times New Roman" w:hAnsi="Arial" w:cs="Arial"/>
          <w:color w:val="252525"/>
          <w:sz w:val="32"/>
          <w:szCs w:val="32"/>
          <w:lang w:eastAsia="zh-CN"/>
        </w:rPr>
      </w:pPr>
      <w:r w:rsidRPr="000C13BC">
        <w:rPr>
          <w:rFonts w:ascii="Arial" w:eastAsia="Times New Roman" w:hAnsi="Arial" w:cs="Arial"/>
          <w:b/>
          <w:bCs/>
          <w:color w:val="252525"/>
          <w:sz w:val="32"/>
          <w:szCs w:val="32"/>
          <w:lang w:eastAsia="zh-CN"/>
        </w:rPr>
        <w:t>Step 1 – Select a Health Care Agent</w:t>
      </w:r>
    </w:p>
    <w:p w14:paraId="1DC08791" w14:textId="77777777" w:rsidR="000C13BC" w:rsidRPr="000C13BC" w:rsidRDefault="000C13BC" w:rsidP="000C13BC">
      <w:pPr>
        <w:shd w:val="clear" w:color="auto" w:fill="FFFFFF"/>
        <w:spacing w:before="200" w:after="200"/>
        <w:rPr>
          <w:rFonts w:ascii="Arial" w:hAnsi="Arial" w:cs="Arial"/>
          <w:color w:val="252525"/>
          <w:sz w:val="27"/>
          <w:szCs w:val="27"/>
          <w:lang w:eastAsia="zh-CN"/>
        </w:rPr>
      </w:pPr>
      <w:r w:rsidRPr="000C13BC">
        <w:rPr>
          <w:rFonts w:ascii="Arial" w:hAnsi="Arial" w:cs="Arial"/>
          <w:color w:val="252525"/>
          <w:sz w:val="27"/>
          <w:szCs w:val="27"/>
          <w:lang w:eastAsia="zh-CN"/>
        </w:rPr>
        <w:t>It will be necessary for the p</w:t>
      </w:r>
      <w:bookmarkStart w:id="0" w:name="_GoBack"/>
      <w:bookmarkEnd w:id="0"/>
      <w:r w:rsidRPr="000C13BC">
        <w:rPr>
          <w:rFonts w:ascii="Arial" w:hAnsi="Arial" w:cs="Arial"/>
          <w:color w:val="252525"/>
          <w:sz w:val="27"/>
          <w:szCs w:val="27"/>
          <w:lang w:eastAsia="zh-CN"/>
        </w:rPr>
        <w:t>rincipal to appoint someone to take on the responsibility of making medical decisions on their behalf in situations where they are incapable of acting on their own. For this purpose, the principal will need to nominate a </w:t>
      </w:r>
      <w:r w:rsidRPr="000C13BC">
        <w:rPr>
          <w:rFonts w:ascii="Arial" w:hAnsi="Arial" w:cs="Arial"/>
          <w:b/>
          <w:bCs/>
          <w:color w:val="252525"/>
          <w:sz w:val="27"/>
          <w:szCs w:val="27"/>
          <w:lang w:eastAsia="zh-CN"/>
        </w:rPr>
        <w:t>health care agent </w:t>
      </w:r>
      <w:r w:rsidRPr="000C13BC">
        <w:rPr>
          <w:rFonts w:ascii="Arial" w:hAnsi="Arial" w:cs="Arial"/>
          <w:color w:val="252525"/>
          <w:sz w:val="27"/>
          <w:szCs w:val="27"/>
          <w:lang w:eastAsia="zh-CN"/>
        </w:rPr>
        <w:t>(a.k.a. health care proxy). The health care agent should be someone who has a close relationship with the principal such as a spouse, partner, child, or trustworthy friend.</w:t>
      </w:r>
    </w:p>
    <w:p w14:paraId="7E1D7AF2" w14:textId="77777777" w:rsidR="000C13BC" w:rsidRPr="000C13BC" w:rsidRDefault="000C13BC" w:rsidP="000C13BC">
      <w:pPr>
        <w:shd w:val="clear" w:color="auto" w:fill="FFFFFF"/>
        <w:spacing w:before="200" w:after="200"/>
        <w:rPr>
          <w:rFonts w:ascii="Arial" w:hAnsi="Arial" w:cs="Arial"/>
          <w:color w:val="252525"/>
          <w:sz w:val="27"/>
          <w:szCs w:val="27"/>
          <w:lang w:eastAsia="zh-CN"/>
        </w:rPr>
      </w:pPr>
      <w:hyperlink r:id="rId7" w:history="1">
        <w:r w:rsidRPr="000C13BC">
          <w:rPr>
            <w:rFonts w:ascii="Arial" w:hAnsi="Arial" w:cs="Arial"/>
            <w:color w:val="008CDD"/>
            <w:sz w:val="27"/>
            <w:szCs w:val="27"/>
            <w:lang w:eastAsia="zh-CN"/>
          </w:rPr>
          <w:t>Advanced Directive for Health Care</w:t>
        </w:r>
      </w:hyperlink>
      <w:r w:rsidRPr="000C13BC">
        <w:rPr>
          <w:rFonts w:ascii="Arial" w:hAnsi="Arial" w:cs="Arial"/>
          <w:color w:val="252525"/>
          <w:sz w:val="27"/>
          <w:szCs w:val="27"/>
          <w:lang w:eastAsia="zh-CN"/>
        </w:rPr>
        <w:t> – A power of attorney form used by the principal to legally appoint a health care agent. The document allows the principal to define the scope of authority granted to the agent as well as the specific medical situations where their authorization will be needed.</w:t>
      </w:r>
    </w:p>
    <w:p w14:paraId="4C029BBC" w14:textId="77777777" w:rsidR="000C13BC" w:rsidRPr="000C13BC" w:rsidRDefault="000C13BC" w:rsidP="000C13BC">
      <w:pPr>
        <w:numPr>
          <w:ilvl w:val="0"/>
          <w:numId w:val="13"/>
        </w:numPr>
        <w:shd w:val="clear" w:color="auto" w:fill="FFFFFF"/>
        <w:spacing w:before="200" w:after="200" w:line="300" w:lineRule="atLeast"/>
        <w:ind w:left="375"/>
        <w:rPr>
          <w:rFonts w:ascii="Arial" w:eastAsia="Times New Roman" w:hAnsi="Arial" w:cs="Arial"/>
          <w:color w:val="252525"/>
          <w:sz w:val="27"/>
          <w:szCs w:val="27"/>
          <w:lang w:eastAsia="zh-CN"/>
        </w:rPr>
      </w:pPr>
      <w:r w:rsidRPr="000C13BC">
        <w:rPr>
          <w:rFonts w:ascii="Arial" w:eastAsia="Times New Roman" w:hAnsi="Arial" w:cs="Arial"/>
          <w:b/>
          <w:bCs/>
          <w:color w:val="252525"/>
          <w:sz w:val="27"/>
          <w:szCs w:val="27"/>
          <w:lang w:eastAsia="zh-CN"/>
        </w:rPr>
        <w:t>Signing Requirements </w:t>
      </w:r>
      <w:r w:rsidRPr="000C13BC">
        <w:rPr>
          <w:rFonts w:ascii="Arial" w:eastAsia="Times New Roman" w:hAnsi="Arial" w:cs="Arial"/>
          <w:color w:val="252525"/>
          <w:sz w:val="27"/>
          <w:szCs w:val="27"/>
          <w:lang w:eastAsia="zh-CN"/>
        </w:rPr>
        <w:t>(</w:t>
      </w:r>
      <w:hyperlink r:id="rId8" w:tgtFrame="_blank" w:history="1">
        <w:r w:rsidRPr="000C13BC">
          <w:rPr>
            <w:rFonts w:ascii="Arial" w:eastAsia="Times New Roman" w:hAnsi="Arial" w:cs="Arial"/>
            <w:color w:val="008CDD"/>
            <w:sz w:val="27"/>
            <w:szCs w:val="27"/>
            <w:lang w:eastAsia="zh-CN"/>
          </w:rPr>
          <w:t>§ 31-32-5</w:t>
        </w:r>
      </w:hyperlink>
      <w:r w:rsidRPr="000C13BC">
        <w:rPr>
          <w:rFonts w:ascii="Arial" w:eastAsia="Times New Roman" w:hAnsi="Arial" w:cs="Arial"/>
          <w:color w:val="252525"/>
          <w:sz w:val="27"/>
          <w:szCs w:val="27"/>
          <w:lang w:eastAsia="zh-CN"/>
        </w:rPr>
        <w:t>) – Will need to be signed by the principal and two (2) adult witnesses.</w:t>
      </w:r>
    </w:p>
    <w:p w14:paraId="1B1D6506" w14:textId="77777777" w:rsidR="000C13BC" w:rsidRPr="000C13BC" w:rsidRDefault="000C13BC" w:rsidP="000C13BC">
      <w:pPr>
        <w:shd w:val="clear" w:color="auto" w:fill="FFFFFF"/>
        <w:spacing w:before="200" w:after="200" w:line="360" w:lineRule="atLeast"/>
        <w:outlineLvl w:val="2"/>
        <w:rPr>
          <w:rFonts w:ascii="Arial" w:eastAsia="Times New Roman" w:hAnsi="Arial" w:cs="Arial"/>
          <w:color w:val="252525"/>
          <w:sz w:val="32"/>
          <w:szCs w:val="32"/>
          <w:lang w:eastAsia="zh-CN"/>
        </w:rPr>
      </w:pPr>
      <w:r w:rsidRPr="000C13BC">
        <w:rPr>
          <w:rFonts w:ascii="Arial" w:eastAsia="Times New Roman" w:hAnsi="Arial" w:cs="Arial"/>
          <w:b/>
          <w:bCs/>
          <w:color w:val="252525"/>
          <w:sz w:val="32"/>
          <w:szCs w:val="32"/>
          <w:lang w:eastAsia="zh-CN"/>
        </w:rPr>
        <w:t>Step 2 – Select a Financial Agent</w:t>
      </w:r>
    </w:p>
    <w:p w14:paraId="51B955F8" w14:textId="77777777" w:rsidR="000C13BC" w:rsidRPr="000C13BC" w:rsidRDefault="000C13BC" w:rsidP="000C13BC">
      <w:pPr>
        <w:shd w:val="clear" w:color="auto" w:fill="FFFFFF"/>
        <w:spacing w:before="200" w:after="200"/>
        <w:rPr>
          <w:rFonts w:ascii="Arial" w:hAnsi="Arial" w:cs="Arial"/>
          <w:color w:val="252525"/>
          <w:sz w:val="27"/>
          <w:szCs w:val="27"/>
          <w:lang w:eastAsia="zh-CN"/>
        </w:rPr>
      </w:pPr>
      <w:r w:rsidRPr="000C13BC">
        <w:rPr>
          <w:rFonts w:ascii="Arial" w:hAnsi="Arial" w:cs="Arial"/>
          <w:color w:val="252525"/>
          <w:sz w:val="27"/>
          <w:szCs w:val="27"/>
          <w:lang w:eastAsia="zh-CN"/>
        </w:rPr>
        <w:t>After the principal has secured their medical interests by appointing a health care agent, they will need to do the same for their financial interests by choosing a </w:t>
      </w:r>
      <w:r w:rsidRPr="000C13BC">
        <w:rPr>
          <w:rFonts w:ascii="Arial" w:hAnsi="Arial" w:cs="Arial"/>
          <w:b/>
          <w:bCs/>
          <w:color w:val="252525"/>
          <w:sz w:val="27"/>
          <w:szCs w:val="27"/>
          <w:lang w:eastAsia="zh-CN"/>
        </w:rPr>
        <w:t>financial agent</w:t>
      </w:r>
      <w:r w:rsidRPr="000C13BC">
        <w:rPr>
          <w:rFonts w:ascii="Arial" w:hAnsi="Arial" w:cs="Arial"/>
          <w:color w:val="252525"/>
          <w:sz w:val="27"/>
          <w:szCs w:val="27"/>
          <w:lang w:eastAsia="zh-CN"/>
        </w:rPr>
        <w:t>. Like its title indicates, a financial agent will be responsible for looking after the principal’s finances while they are incapacitated or otherwise incapable of making competent decisions.</w:t>
      </w:r>
    </w:p>
    <w:p w14:paraId="4E23ED2D" w14:textId="77777777" w:rsidR="000C13BC" w:rsidRPr="000C13BC" w:rsidRDefault="000C13BC" w:rsidP="000C13BC">
      <w:pPr>
        <w:shd w:val="clear" w:color="auto" w:fill="FFFFFF"/>
        <w:spacing w:before="200" w:after="200"/>
        <w:rPr>
          <w:rFonts w:ascii="Arial" w:hAnsi="Arial" w:cs="Arial"/>
          <w:color w:val="252525"/>
          <w:sz w:val="27"/>
          <w:szCs w:val="27"/>
          <w:lang w:eastAsia="zh-CN"/>
        </w:rPr>
      </w:pPr>
      <w:hyperlink r:id="rId9" w:history="1">
        <w:r w:rsidRPr="000C13BC">
          <w:rPr>
            <w:rFonts w:ascii="Arial" w:hAnsi="Arial" w:cs="Arial"/>
            <w:color w:val="008CDD"/>
            <w:sz w:val="27"/>
            <w:szCs w:val="27"/>
            <w:lang w:eastAsia="zh-CN"/>
          </w:rPr>
          <w:t>Durable (Financial) Power of Attorney</w:t>
        </w:r>
      </w:hyperlink>
      <w:r w:rsidRPr="000C13BC">
        <w:rPr>
          <w:rFonts w:ascii="Arial" w:hAnsi="Arial" w:cs="Arial"/>
          <w:color w:val="252525"/>
          <w:sz w:val="27"/>
          <w:szCs w:val="27"/>
          <w:lang w:eastAsia="zh-CN"/>
        </w:rPr>
        <w:t> – A document containing the language and provisions necessary for the principal to legally nominate a financial agent.</w:t>
      </w:r>
    </w:p>
    <w:p w14:paraId="534EA845" w14:textId="77777777" w:rsidR="000C13BC" w:rsidRPr="000C13BC" w:rsidRDefault="000C13BC" w:rsidP="000C13BC">
      <w:pPr>
        <w:numPr>
          <w:ilvl w:val="0"/>
          <w:numId w:val="14"/>
        </w:numPr>
        <w:shd w:val="clear" w:color="auto" w:fill="FFFFFF"/>
        <w:spacing w:before="200" w:after="200" w:line="300" w:lineRule="atLeast"/>
        <w:ind w:left="375"/>
        <w:rPr>
          <w:rFonts w:ascii="Arial" w:eastAsia="Times New Roman" w:hAnsi="Arial" w:cs="Arial"/>
          <w:color w:val="252525"/>
          <w:sz w:val="27"/>
          <w:szCs w:val="27"/>
          <w:lang w:eastAsia="zh-CN"/>
        </w:rPr>
      </w:pPr>
      <w:r w:rsidRPr="000C13BC">
        <w:rPr>
          <w:rFonts w:ascii="Arial" w:eastAsia="Times New Roman" w:hAnsi="Arial" w:cs="Arial"/>
          <w:b/>
          <w:bCs/>
          <w:color w:val="252525"/>
          <w:sz w:val="27"/>
          <w:szCs w:val="27"/>
          <w:lang w:eastAsia="zh-CN"/>
        </w:rPr>
        <w:t>Signing Requirements </w:t>
      </w:r>
      <w:r w:rsidRPr="000C13BC">
        <w:rPr>
          <w:rFonts w:ascii="Arial" w:eastAsia="Times New Roman" w:hAnsi="Arial" w:cs="Arial"/>
          <w:color w:val="252525"/>
          <w:sz w:val="27"/>
          <w:szCs w:val="27"/>
          <w:lang w:eastAsia="zh-CN"/>
        </w:rPr>
        <w:t>(</w:t>
      </w:r>
      <w:hyperlink r:id="rId10" w:tgtFrame="_blank" w:history="1">
        <w:r w:rsidRPr="000C13BC">
          <w:rPr>
            <w:rFonts w:ascii="Arial" w:eastAsia="Times New Roman" w:hAnsi="Arial" w:cs="Arial"/>
            <w:color w:val="008CDD"/>
            <w:sz w:val="27"/>
            <w:szCs w:val="27"/>
            <w:lang w:eastAsia="zh-CN"/>
          </w:rPr>
          <w:t>§ 10-6B-5</w:t>
        </w:r>
      </w:hyperlink>
      <w:r w:rsidRPr="000C13BC">
        <w:rPr>
          <w:rFonts w:ascii="Arial" w:eastAsia="Times New Roman" w:hAnsi="Arial" w:cs="Arial"/>
          <w:color w:val="252525"/>
          <w:sz w:val="27"/>
          <w:szCs w:val="27"/>
          <w:lang w:eastAsia="zh-CN"/>
        </w:rPr>
        <w:t>) – Must be signed and attested by the principal in the presence of one (1) or more witnesses and a notary public.</w:t>
      </w:r>
    </w:p>
    <w:p w14:paraId="0B9A3F81" w14:textId="77777777" w:rsidR="000C13BC" w:rsidRPr="000C13BC" w:rsidRDefault="000C13BC" w:rsidP="000C13BC">
      <w:pPr>
        <w:shd w:val="clear" w:color="auto" w:fill="FFFFFF"/>
        <w:rPr>
          <w:rFonts w:ascii="Arial" w:hAnsi="Arial" w:cs="Arial"/>
          <w:color w:val="252525"/>
          <w:sz w:val="27"/>
          <w:szCs w:val="27"/>
          <w:lang w:eastAsia="zh-CN"/>
        </w:rPr>
      </w:pPr>
      <w:r w:rsidRPr="000C13BC">
        <w:rPr>
          <w:rFonts w:ascii="Arial" w:hAnsi="Arial" w:cs="Arial"/>
          <w:b/>
          <w:bCs/>
          <w:color w:val="252525"/>
          <w:sz w:val="27"/>
          <w:szCs w:val="27"/>
          <w:lang w:eastAsia="zh-CN"/>
        </w:rPr>
        <w:t>Financial Powers Allowed</w:t>
      </w:r>
    </w:p>
    <w:p w14:paraId="3782E293" w14:textId="77777777" w:rsidR="000C13BC" w:rsidRPr="000C13BC" w:rsidRDefault="000C13BC" w:rsidP="000C13BC">
      <w:pPr>
        <w:numPr>
          <w:ilvl w:val="0"/>
          <w:numId w:val="15"/>
        </w:numPr>
        <w:shd w:val="clear" w:color="auto" w:fill="FFFFFF"/>
        <w:spacing w:line="300" w:lineRule="atLeast"/>
        <w:ind w:left="375"/>
        <w:rPr>
          <w:rFonts w:ascii="Arial" w:eastAsia="Times New Roman" w:hAnsi="Arial" w:cs="Arial"/>
          <w:color w:val="252525"/>
          <w:sz w:val="27"/>
          <w:szCs w:val="27"/>
          <w:lang w:eastAsia="zh-CN"/>
        </w:rPr>
      </w:pPr>
      <w:r w:rsidRPr="000C13BC">
        <w:rPr>
          <w:rFonts w:ascii="Arial" w:eastAsia="Times New Roman" w:hAnsi="Arial" w:cs="Arial"/>
          <w:color w:val="252525"/>
          <w:sz w:val="27"/>
          <w:szCs w:val="27"/>
          <w:lang w:eastAsia="zh-CN"/>
        </w:rPr>
        <w:t>Real property (</w:t>
      </w:r>
      <w:hyperlink r:id="rId11" w:tgtFrame="_blank" w:history="1">
        <w:r w:rsidRPr="000C13BC">
          <w:rPr>
            <w:rFonts w:ascii="Arial" w:eastAsia="Times New Roman" w:hAnsi="Arial" w:cs="Arial"/>
            <w:color w:val="008CDD"/>
            <w:sz w:val="27"/>
            <w:szCs w:val="27"/>
            <w:lang w:eastAsia="zh-CN"/>
          </w:rPr>
          <w:t>§ 10-6B-43</w:t>
        </w:r>
      </w:hyperlink>
      <w:r w:rsidRPr="000C13BC">
        <w:rPr>
          <w:rFonts w:ascii="Arial" w:eastAsia="Times New Roman" w:hAnsi="Arial" w:cs="Arial"/>
          <w:color w:val="252525"/>
          <w:sz w:val="27"/>
          <w:szCs w:val="27"/>
          <w:lang w:eastAsia="zh-CN"/>
        </w:rPr>
        <w:t>);</w:t>
      </w:r>
    </w:p>
    <w:p w14:paraId="333AE969" w14:textId="77777777" w:rsidR="000C13BC" w:rsidRPr="000C13BC" w:rsidRDefault="000C13BC" w:rsidP="000C13BC">
      <w:pPr>
        <w:numPr>
          <w:ilvl w:val="0"/>
          <w:numId w:val="15"/>
        </w:numPr>
        <w:shd w:val="clear" w:color="auto" w:fill="FFFFFF"/>
        <w:spacing w:line="300" w:lineRule="atLeast"/>
        <w:ind w:left="375"/>
        <w:rPr>
          <w:rFonts w:ascii="Arial" w:eastAsia="Times New Roman" w:hAnsi="Arial" w:cs="Arial"/>
          <w:color w:val="252525"/>
          <w:sz w:val="27"/>
          <w:szCs w:val="27"/>
          <w:lang w:eastAsia="zh-CN"/>
        </w:rPr>
      </w:pPr>
      <w:r w:rsidRPr="000C13BC">
        <w:rPr>
          <w:rFonts w:ascii="Arial" w:eastAsia="Times New Roman" w:hAnsi="Arial" w:cs="Arial"/>
          <w:color w:val="252525"/>
          <w:sz w:val="27"/>
          <w:szCs w:val="27"/>
          <w:lang w:eastAsia="zh-CN"/>
        </w:rPr>
        <w:t>Tangible personal property (</w:t>
      </w:r>
      <w:hyperlink r:id="rId12" w:tgtFrame="_blank" w:history="1">
        <w:r w:rsidRPr="000C13BC">
          <w:rPr>
            <w:rFonts w:ascii="Arial" w:eastAsia="Times New Roman" w:hAnsi="Arial" w:cs="Arial"/>
            <w:color w:val="008CDD"/>
            <w:sz w:val="27"/>
            <w:szCs w:val="27"/>
            <w:lang w:eastAsia="zh-CN"/>
          </w:rPr>
          <w:t>§ 10-6B-44</w:t>
        </w:r>
      </w:hyperlink>
      <w:r w:rsidRPr="000C13BC">
        <w:rPr>
          <w:rFonts w:ascii="Arial" w:eastAsia="Times New Roman" w:hAnsi="Arial" w:cs="Arial"/>
          <w:color w:val="252525"/>
          <w:sz w:val="27"/>
          <w:szCs w:val="27"/>
          <w:lang w:eastAsia="zh-CN"/>
        </w:rPr>
        <w:t>);</w:t>
      </w:r>
    </w:p>
    <w:p w14:paraId="761929F9" w14:textId="77777777" w:rsidR="000C13BC" w:rsidRPr="000C13BC" w:rsidRDefault="000C13BC" w:rsidP="000C13BC">
      <w:pPr>
        <w:numPr>
          <w:ilvl w:val="0"/>
          <w:numId w:val="15"/>
        </w:numPr>
        <w:shd w:val="clear" w:color="auto" w:fill="FFFFFF"/>
        <w:spacing w:line="300" w:lineRule="atLeast"/>
        <w:ind w:left="375"/>
        <w:rPr>
          <w:rFonts w:ascii="Arial" w:eastAsia="Times New Roman" w:hAnsi="Arial" w:cs="Arial"/>
          <w:color w:val="252525"/>
          <w:sz w:val="27"/>
          <w:szCs w:val="27"/>
          <w:lang w:eastAsia="zh-CN"/>
        </w:rPr>
      </w:pPr>
      <w:r w:rsidRPr="000C13BC">
        <w:rPr>
          <w:rFonts w:ascii="Arial" w:eastAsia="Times New Roman" w:hAnsi="Arial" w:cs="Arial"/>
          <w:color w:val="252525"/>
          <w:sz w:val="27"/>
          <w:szCs w:val="27"/>
          <w:lang w:eastAsia="zh-CN"/>
        </w:rPr>
        <w:t>Stocks and bonds (</w:t>
      </w:r>
      <w:hyperlink r:id="rId13" w:tgtFrame="_blank" w:history="1">
        <w:r w:rsidRPr="000C13BC">
          <w:rPr>
            <w:rFonts w:ascii="Arial" w:eastAsia="Times New Roman" w:hAnsi="Arial" w:cs="Arial"/>
            <w:color w:val="008CDD"/>
            <w:sz w:val="27"/>
            <w:szCs w:val="27"/>
            <w:lang w:eastAsia="zh-CN"/>
          </w:rPr>
          <w:t>§ 10-6B-45</w:t>
        </w:r>
      </w:hyperlink>
      <w:r w:rsidRPr="000C13BC">
        <w:rPr>
          <w:rFonts w:ascii="Arial" w:eastAsia="Times New Roman" w:hAnsi="Arial" w:cs="Arial"/>
          <w:color w:val="252525"/>
          <w:sz w:val="27"/>
          <w:szCs w:val="27"/>
          <w:lang w:eastAsia="zh-CN"/>
        </w:rPr>
        <w:t>);</w:t>
      </w:r>
    </w:p>
    <w:p w14:paraId="3E6C2493" w14:textId="77777777" w:rsidR="000C13BC" w:rsidRPr="000C13BC" w:rsidRDefault="000C13BC" w:rsidP="000C13BC">
      <w:pPr>
        <w:numPr>
          <w:ilvl w:val="0"/>
          <w:numId w:val="15"/>
        </w:numPr>
        <w:shd w:val="clear" w:color="auto" w:fill="FFFFFF"/>
        <w:spacing w:line="300" w:lineRule="atLeast"/>
        <w:ind w:left="375"/>
        <w:rPr>
          <w:rFonts w:ascii="Arial" w:eastAsia="Times New Roman" w:hAnsi="Arial" w:cs="Arial"/>
          <w:color w:val="252525"/>
          <w:sz w:val="27"/>
          <w:szCs w:val="27"/>
          <w:lang w:eastAsia="zh-CN"/>
        </w:rPr>
      </w:pPr>
      <w:r w:rsidRPr="000C13BC">
        <w:rPr>
          <w:rFonts w:ascii="Arial" w:eastAsia="Times New Roman" w:hAnsi="Arial" w:cs="Arial"/>
          <w:color w:val="252525"/>
          <w:sz w:val="27"/>
          <w:szCs w:val="27"/>
          <w:lang w:eastAsia="zh-CN"/>
        </w:rPr>
        <w:lastRenderedPageBreak/>
        <w:t>Commodities and options (</w:t>
      </w:r>
      <w:hyperlink r:id="rId14" w:tgtFrame="_blank" w:history="1">
        <w:r w:rsidRPr="000C13BC">
          <w:rPr>
            <w:rFonts w:ascii="Arial" w:eastAsia="Times New Roman" w:hAnsi="Arial" w:cs="Arial"/>
            <w:color w:val="008CDD"/>
            <w:sz w:val="27"/>
            <w:szCs w:val="27"/>
            <w:lang w:eastAsia="zh-CN"/>
          </w:rPr>
          <w:t>§ 10-6B-46</w:t>
        </w:r>
      </w:hyperlink>
      <w:r w:rsidRPr="000C13BC">
        <w:rPr>
          <w:rFonts w:ascii="Arial" w:eastAsia="Times New Roman" w:hAnsi="Arial" w:cs="Arial"/>
          <w:color w:val="252525"/>
          <w:sz w:val="27"/>
          <w:szCs w:val="27"/>
          <w:lang w:eastAsia="zh-CN"/>
        </w:rPr>
        <w:t>);</w:t>
      </w:r>
    </w:p>
    <w:p w14:paraId="55C403A0" w14:textId="77777777" w:rsidR="000C13BC" w:rsidRPr="000C13BC" w:rsidRDefault="000C13BC" w:rsidP="000C13BC">
      <w:pPr>
        <w:numPr>
          <w:ilvl w:val="0"/>
          <w:numId w:val="15"/>
        </w:numPr>
        <w:shd w:val="clear" w:color="auto" w:fill="FFFFFF"/>
        <w:spacing w:line="300" w:lineRule="atLeast"/>
        <w:ind w:left="375"/>
        <w:rPr>
          <w:rFonts w:ascii="Arial" w:eastAsia="Times New Roman" w:hAnsi="Arial" w:cs="Arial"/>
          <w:color w:val="252525"/>
          <w:sz w:val="27"/>
          <w:szCs w:val="27"/>
          <w:lang w:eastAsia="zh-CN"/>
        </w:rPr>
      </w:pPr>
      <w:r w:rsidRPr="000C13BC">
        <w:rPr>
          <w:rFonts w:ascii="Arial" w:eastAsia="Times New Roman" w:hAnsi="Arial" w:cs="Arial"/>
          <w:color w:val="252525"/>
          <w:sz w:val="27"/>
          <w:szCs w:val="27"/>
          <w:lang w:eastAsia="zh-CN"/>
        </w:rPr>
        <w:t>Banks and other financial institutions (</w:t>
      </w:r>
      <w:hyperlink r:id="rId15" w:tgtFrame="_blank" w:history="1">
        <w:r w:rsidRPr="000C13BC">
          <w:rPr>
            <w:rFonts w:ascii="Arial" w:eastAsia="Times New Roman" w:hAnsi="Arial" w:cs="Arial"/>
            <w:color w:val="008CDD"/>
            <w:sz w:val="27"/>
            <w:szCs w:val="27"/>
            <w:lang w:eastAsia="zh-CN"/>
          </w:rPr>
          <w:t>§ 10-6B-47</w:t>
        </w:r>
      </w:hyperlink>
      <w:r w:rsidRPr="000C13BC">
        <w:rPr>
          <w:rFonts w:ascii="Arial" w:eastAsia="Times New Roman" w:hAnsi="Arial" w:cs="Arial"/>
          <w:color w:val="252525"/>
          <w:sz w:val="27"/>
          <w:szCs w:val="27"/>
          <w:lang w:eastAsia="zh-CN"/>
        </w:rPr>
        <w:t>);</w:t>
      </w:r>
    </w:p>
    <w:p w14:paraId="5BCC045D" w14:textId="77777777" w:rsidR="000C13BC" w:rsidRPr="000C13BC" w:rsidRDefault="000C13BC" w:rsidP="000C13BC">
      <w:pPr>
        <w:numPr>
          <w:ilvl w:val="0"/>
          <w:numId w:val="15"/>
        </w:numPr>
        <w:shd w:val="clear" w:color="auto" w:fill="FFFFFF"/>
        <w:spacing w:line="300" w:lineRule="atLeast"/>
        <w:ind w:left="375"/>
        <w:rPr>
          <w:rFonts w:ascii="Arial" w:eastAsia="Times New Roman" w:hAnsi="Arial" w:cs="Arial"/>
          <w:color w:val="252525"/>
          <w:sz w:val="27"/>
          <w:szCs w:val="27"/>
          <w:lang w:eastAsia="zh-CN"/>
        </w:rPr>
      </w:pPr>
      <w:r w:rsidRPr="000C13BC">
        <w:rPr>
          <w:rFonts w:ascii="Arial" w:eastAsia="Times New Roman" w:hAnsi="Arial" w:cs="Arial"/>
          <w:color w:val="252525"/>
          <w:sz w:val="27"/>
          <w:szCs w:val="27"/>
          <w:lang w:eastAsia="zh-CN"/>
        </w:rPr>
        <w:t>Operation of entity or business (</w:t>
      </w:r>
      <w:hyperlink r:id="rId16" w:tgtFrame="_blank" w:history="1">
        <w:r w:rsidRPr="000C13BC">
          <w:rPr>
            <w:rFonts w:ascii="Arial" w:eastAsia="Times New Roman" w:hAnsi="Arial" w:cs="Arial"/>
            <w:color w:val="008CDD"/>
            <w:sz w:val="27"/>
            <w:szCs w:val="27"/>
            <w:lang w:eastAsia="zh-CN"/>
          </w:rPr>
          <w:t>§ 10-6B-48</w:t>
        </w:r>
      </w:hyperlink>
      <w:r w:rsidRPr="000C13BC">
        <w:rPr>
          <w:rFonts w:ascii="Arial" w:eastAsia="Times New Roman" w:hAnsi="Arial" w:cs="Arial"/>
          <w:color w:val="252525"/>
          <w:sz w:val="27"/>
          <w:szCs w:val="27"/>
          <w:lang w:eastAsia="zh-CN"/>
        </w:rPr>
        <w:t>);</w:t>
      </w:r>
    </w:p>
    <w:p w14:paraId="3CD04B90" w14:textId="77777777" w:rsidR="000C13BC" w:rsidRPr="000C13BC" w:rsidRDefault="000C13BC" w:rsidP="000C13BC">
      <w:pPr>
        <w:numPr>
          <w:ilvl w:val="0"/>
          <w:numId w:val="15"/>
        </w:numPr>
        <w:shd w:val="clear" w:color="auto" w:fill="FFFFFF"/>
        <w:spacing w:line="300" w:lineRule="atLeast"/>
        <w:ind w:left="375"/>
        <w:rPr>
          <w:rFonts w:ascii="Arial" w:eastAsia="Times New Roman" w:hAnsi="Arial" w:cs="Arial"/>
          <w:color w:val="252525"/>
          <w:sz w:val="27"/>
          <w:szCs w:val="27"/>
          <w:lang w:eastAsia="zh-CN"/>
        </w:rPr>
      </w:pPr>
      <w:r w:rsidRPr="000C13BC">
        <w:rPr>
          <w:rFonts w:ascii="Arial" w:eastAsia="Times New Roman" w:hAnsi="Arial" w:cs="Arial"/>
          <w:color w:val="252525"/>
          <w:sz w:val="27"/>
          <w:szCs w:val="27"/>
          <w:lang w:eastAsia="zh-CN"/>
        </w:rPr>
        <w:t>Insurance and annuities (</w:t>
      </w:r>
      <w:hyperlink r:id="rId17" w:tgtFrame="_blank" w:history="1">
        <w:r w:rsidRPr="000C13BC">
          <w:rPr>
            <w:rFonts w:ascii="Arial" w:eastAsia="Times New Roman" w:hAnsi="Arial" w:cs="Arial"/>
            <w:color w:val="008CDD"/>
            <w:sz w:val="27"/>
            <w:szCs w:val="27"/>
            <w:lang w:eastAsia="zh-CN"/>
          </w:rPr>
          <w:t>§ 10-6B-49</w:t>
        </w:r>
      </w:hyperlink>
      <w:r w:rsidRPr="000C13BC">
        <w:rPr>
          <w:rFonts w:ascii="Arial" w:eastAsia="Times New Roman" w:hAnsi="Arial" w:cs="Arial"/>
          <w:color w:val="252525"/>
          <w:sz w:val="27"/>
          <w:szCs w:val="27"/>
          <w:lang w:eastAsia="zh-CN"/>
        </w:rPr>
        <w:t>);</w:t>
      </w:r>
    </w:p>
    <w:p w14:paraId="1DEF9CBF" w14:textId="77777777" w:rsidR="000C13BC" w:rsidRPr="000C13BC" w:rsidRDefault="000C13BC" w:rsidP="000C13BC">
      <w:pPr>
        <w:numPr>
          <w:ilvl w:val="0"/>
          <w:numId w:val="15"/>
        </w:numPr>
        <w:shd w:val="clear" w:color="auto" w:fill="FFFFFF"/>
        <w:spacing w:line="300" w:lineRule="atLeast"/>
        <w:ind w:left="375"/>
        <w:rPr>
          <w:rFonts w:ascii="Arial" w:eastAsia="Times New Roman" w:hAnsi="Arial" w:cs="Arial"/>
          <w:color w:val="252525"/>
          <w:sz w:val="27"/>
          <w:szCs w:val="27"/>
          <w:lang w:eastAsia="zh-CN"/>
        </w:rPr>
      </w:pPr>
      <w:r w:rsidRPr="000C13BC">
        <w:rPr>
          <w:rFonts w:ascii="Arial" w:eastAsia="Times New Roman" w:hAnsi="Arial" w:cs="Arial"/>
          <w:color w:val="252525"/>
          <w:sz w:val="27"/>
          <w:szCs w:val="27"/>
          <w:lang w:eastAsia="zh-CN"/>
        </w:rPr>
        <w:t>Estates, trusts, and other beneficial interests (</w:t>
      </w:r>
      <w:hyperlink r:id="rId18" w:tgtFrame="_blank" w:history="1">
        <w:r w:rsidRPr="000C13BC">
          <w:rPr>
            <w:rFonts w:ascii="Arial" w:eastAsia="Times New Roman" w:hAnsi="Arial" w:cs="Arial"/>
            <w:color w:val="008CDD"/>
            <w:sz w:val="27"/>
            <w:szCs w:val="27"/>
            <w:lang w:eastAsia="zh-CN"/>
          </w:rPr>
          <w:t>§ 10-6B-50</w:t>
        </w:r>
      </w:hyperlink>
      <w:r w:rsidRPr="000C13BC">
        <w:rPr>
          <w:rFonts w:ascii="Arial" w:eastAsia="Times New Roman" w:hAnsi="Arial" w:cs="Arial"/>
          <w:color w:val="252525"/>
          <w:sz w:val="27"/>
          <w:szCs w:val="27"/>
          <w:lang w:eastAsia="zh-CN"/>
        </w:rPr>
        <w:t>);</w:t>
      </w:r>
    </w:p>
    <w:p w14:paraId="0C5CFF2A" w14:textId="77777777" w:rsidR="000C13BC" w:rsidRPr="000C13BC" w:rsidRDefault="000C13BC" w:rsidP="000C13BC">
      <w:pPr>
        <w:numPr>
          <w:ilvl w:val="0"/>
          <w:numId w:val="15"/>
        </w:numPr>
        <w:shd w:val="clear" w:color="auto" w:fill="FFFFFF"/>
        <w:spacing w:line="300" w:lineRule="atLeast"/>
        <w:ind w:left="375"/>
        <w:rPr>
          <w:rFonts w:ascii="Arial" w:eastAsia="Times New Roman" w:hAnsi="Arial" w:cs="Arial"/>
          <w:color w:val="252525"/>
          <w:sz w:val="27"/>
          <w:szCs w:val="27"/>
          <w:lang w:eastAsia="zh-CN"/>
        </w:rPr>
      </w:pPr>
      <w:r w:rsidRPr="000C13BC">
        <w:rPr>
          <w:rFonts w:ascii="Arial" w:eastAsia="Times New Roman" w:hAnsi="Arial" w:cs="Arial"/>
          <w:color w:val="252525"/>
          <w:sz w:val="27"/>
          <w:szCs w:val="27"/>
          <w:lang w:eastAsia="zh-CN"/>
        </w:rPr>
        <w:t>Claims and litigation (</w:t>
      </w:r>
      <w:hyperlink r:id="rId19" w:tgtFrame="_blank" w:history="1">
        <w:r w:rsidRPr="000C13BC">
          <w:rPr>
            <w:rFonts w:ascii="Arial" w:eastAsia="Times New Roman" w:hAnsi="Arial" w:cs="Arial"/>
            <w:color w:val="008CDD"/>
            <w:sz w:val="27"/>
            <w:szCs w:val="27"/>
            <w:lang w:eastAsia="zh-CN"/>
          </w:rPr>
          <w:t>§ 10-6B-51</w:t>
        </w:r>
      </w:hyperlink>
      <w:r w:rsidRPr="000C13BC">
        <w:rPr>
          <w:rFonts w:ascii="Arial" w:eastAsia="Times New Roman" w:hAnsi="Arial" w:cs="Arial"/>
          <w:color w:val="252525"/>
          <w:sz w:val="27"/>
          <w:szCs w:val="27"/>
          <w:lang w:eastAsia="zh-CN"/>
        </w:rPr>
        <w:t>);</w:t>
      </w:r>
    </w:p>
    <w:p w14:paraId="66B5B570" w14:textId="77777777" w:rsidR="000C13BC" w:rsidRPr="000C13BC" w:rsidRDefault="000C13BC" w:rsidP="000C13BC">
      <w:pPr>
        <w:numPr>
          <w:ilvl w:val="0"/>
          <w:numId w:val="15"/>
        </w:numPr>
        <w:shd w:val="clear" w:color="auto" w:fill="FFFFFF"/>
        <w:spacing w:line="300" w:lineRule="atLeast"/>
        <w:ind w:left="375"/>
        <w:rPr>
          <w:rFonts w:ascii="Arial" w:eastAsia="Times New Roman" w:hAnsi="Arial" w:cs="Arial"/>
          <w:color w:val="252525"/>
          <w:sz w:val="27"/>
          <w:szCs w:val="27"/>
          <w:lang w:eastAsia="zh-CN"/>
        </w:rPr>
      </w:pPr>
      <w:r w:rsidRPr="000C13BC">
        <w:rPr>
          <w:rFonts w:ascii="Arial" w:eastAsia="Times New Roman" w:hAnsi="Arial" w:cs="Arial"/>
          <w:color w:val="252525"/>
          <w:sz w:val="27"/>
          <w:szCs w:val="27"/>
          <w:lang w:eastAsia="zh-CN"/>
        </w:rPr>
        <w:t>Personal and family maintenance (</w:t>
      </w:r>
      <w:hyperlink r:id="rId20" w:tgtFrame="_blank" w:history="1">
        <w:r w:rsidRPr="000C13BC">
          <w:rPr>
            <w:rFonts w:ascii="Arial" w:eastAsia="Times New Roman" w:hAnsi="Arial" w:cs="Arial"/>
            <w:color w:val="008CDD"/>
            <w:sz w:val="27"/>
            <w:szCs w:val="27"/>
            <w:lang w:eastAsia="zh-CN"/>
          </w:rPr>
          <w:t>§ 10-6B-52</w:t>
        </w:r>
      </w:hyperlink>
      <w:r w:rsidRPr="000C13BC">
        <w:rPr>
          <w:rFonts w:ascii="Arial" w:eastAsia="Times New Roman" w:hAnsi="Arial" w:cs="Arial"/>
          <w:color w:val="252525"/>
          <w:sz w:val="27"/>
          <w:szCs w:val="27"/>
          <w:lang w:eastAsia="zh-CN"/>
        </w:rPr>
        <w:t>);</w:t>
      </w:r>
    </w:p>
    <w:p w14:paraId="63FE78F4" w14:textId="77777777" w:rsidR="000C13BC" w:rsidRPr="000C13BC" w:rsidRDefault="000C13BC" w:rsidP="000C13BC">
      <w:pPr>
        <w:numPr>
          <w:ilvl w:val="0"/>
          <w:numId w:val="15"/>
        </w:numPr>
        <w:shd w:val="clear" w:color="auto" w:fill="FFFFFF"/>
        <w:spacing w:line="300" w:lineRule="atLeast"/>
        <w:ind w:left="375"/>
        <w:rPr>
          <w:rFonts w:ascii="Arial" w:eastAsia="Times New Roman" w:hAnsi="Arial" w:cs="Arial"/>
          <w:color w:val="252525"/>
          <w:sz w:val="27"/>
          <w:szCs w:val="27"/>
          <w:lang w:eastAsia="zh-CN"/>
        </w:rPr>
      </w:pPr>
      <w:r w:rsidRPr="000C13BC">
        <w:rPr>
          <w:rFonts w:ascii="Arial" w:eastAsia="Times New Roman" w:hAnsi="Arial" w:cs="Arial"/>
          <w:color w:val="252525"/>
          <w:sz w:val="27"/>
          <w:szCs w:val="27"/>
          <w:lang w:eastAsia="zh-CN"/>
        </w:rPr>
        <w:t>Benefits from governmental programs or civil or military service (</w:t>
      </w:r>
      <w:hyperlink r:id="rId21" w:tgtFrame="_blank" w:history="1">
        <w:r w:rsidRPr="000C13BC">
          <w:rPr>
            <w:rFonts w:ascii="Arial" w:eastAsia="Times New Roman" w:hAnsi="Arial" w:cs="Arial"/>
            <w:color w:val="008CDD"/>
            <w:sz w:val="27"/>
            <w:szCs w:val="27"/>
            <w:lang w:eastAsia="zh-CN"/>
          </w:rPr>
          <w:t>§ 10-6B-53</w:t>
        </w:r>
      </w:hyperlink>
      <w:r w:rsidRPr="000C13BC">
        <w:rPr>
          <w:rFonts w:ascii="Arial" w:eastAsia="Times New Roman" w:hAnsi="Arial" w:cs="Arial"/>
          <w:color w:val="252525"/>
          <w:sz w:val="27"/>
          <w:szCs w:val="27"/>
          <w:lang w:eastAsia="zh-CN"/>
        </w:rPr>
        <w:t>);</w:t>
      </w:r>
    </w:p>
    <w:p w14:paraId="34731EBB" w14:textId="77777777" w:rsidR="000C13BC" w:rsidRPr="000C13BC" w:rsidRDefault="000C13BC" w:rsidP="000C13BC">
      <w:pPr>
        <w:numPr>
          <w:ilvl w:val="0"/>
          <w:numId w:val="15"/>
        </w:numPr>
        <w:shd w:val="clear" w:color="auto" w:fill="FFFFFF"/>
        <w:spacing w:line="300" w:lineRule="atLeast"/>
        <w:ind w:left="375"/>
        <w:rPr>
          <w:rFonts w:ascii="Arial" w:eastAsia="Times New Roman" w:hAnsi="Arial" w:cs="Arial"/>
          <w:color w:val="252525"/>
          <w:sz w:val="27"/>
          <w:szCs w:val="27"/>
          <w:lang w:eastAsia="zh-CN"/>
        </w:rPr>
      </w:pPr>
      <w:r w:rsidRPr="000C13BC">
        <w:rPr>
          <w:rFonts w:ascii="Arial" w:eastAsia="Times New Roman" w:hAnsi="Arial" w:cs="Arial"/>
          <w:color w:val="252525"/>
          <w:sz w:val="27"/>
          <w:szCs w:val="27"/>
          <w:lang w:eastAsia="zh-CN"/>
        </w:rPr>
        <w:t>Retirement plans (</w:t>
      </w:r>
      <w:hyperlink r:id="rId22" w:tgtFrame="_blank" w:history="1">
        <w:r w:rsidRPr="000C13BC">
          <w:rPr>
            <w:rFonts w:ascii="Arial" w:eastAsia="Times New Roman" w:hAnsi="Arial" w:cs="Arial"/>
            <w:color w:val="008CDD"/>
            <w:sz w:val="27"/>
            <w:szCs w:val="27"/>
            <w:lang w:eastAsia="zh-CN"/>
          </w:rPr>
          <w:t>§ 10-6B-54</w:t>
        </w:r>
      </w:hyperlink>
      <w:r w:rsidRPr="000C13BC">
        <w:rPr>
          <w:rFonts w:ascii="Arial" w:eastAsia="Times New Roman" w:hAnsi="Arial" w:cs="Arial"/>
          <w:color w:val="252525"/>
          <w:sz w:val="27"/>
          <w:szCs w:val="27"/>
          <w:lang w:eastAsia="zh-CN"/>
        </w:rPr>
        <w:t>);</w:t>
      </w:r>
    </w:p>
    <w:p w14:paraId="3F6EA99A" w14:textId="77777777" w:rsidR="000C13BC" w:rsidRPr="000C13BC" w:rsidRDefault="000C13BC" w:rsidP="000C13BC">
      <w:pPr>
        <w:numPr>
          <w:ilvl w:val="0"/>
          <w:numId w:val="15"/>
        </w:numPr>
        <w:shd w:val="clear" w:color="auto" w:fill="FFFFFF"/>
        <w:spacing w:line="300" w:lineRule="atLeast"/>
        <w:ind w:left="375"/>
        <w:rPr>
          <w:rFonts w:ascii="Arial" w:eastAsia="Times New Roman" w:hAnsi="Arial" w:cs="Arial"/>
          <w:color w:val="252525"/>
          <w:sz w:val="27"/>
          <w:szCs w:val="27"/>
          <w:lang w:eastAsia="zh-CN"/>
        </w:rPr>
      </w:pPr>
      <w:r w:rsidRPr="000C13BC">
        <w:rPr>
          <w:rFonts w:ascii="Arial" w:eastAsia="Times New Roman" w:hAnsi="Arial" w:cs="Arial"/>
          <w:color w:val="252525"/>
          <w:sz w:val="27"/>
          <w:szCs w:val="27"/>
          <w:lang w:eastAsia="zh-CN"/>
        </w:rPr>
        <w:t>Taxes (</w:t>
      </w:r>
      <w:hyperlink r:id="rId23" w:tgtFrame="_blank" w:history="1">
        <w:r w:rsidRPr="000C13BC">
          <w:rPr>
            <w:rFonts w:ascii="Arial" w:eastAsia="Times New Roman" w:hAnsi="Arial" w:cs="Arial"/>
            <w:color w:val="008CDD"/>
            <w:sz w:val="27"/>
            <w:szCs w:val="27"/>
            <w:lang w:eastAsia="zh-CN"/>
          </w:rPr>
          <w:t>§ 10-6B-55</w:t>
        </w:r>
      </w:hyperlink>
      <w:r w:rsidRPr="000C13BC">
        <w:rPr>
          <w:rFonts w:ascii="Arial" w:eastAsia="Times New Roman" w:hAnsi="Arial" w:cs="Arial"/>
          <w:color w:val="252525"/>
          <w:sz w:val="27"/>
          <w:szCs w:val="27"/>
          <w:lang w:eastAsia="zh-CN"/>
        </w:rPr>
        <w:t>);</w:t>
      </w:r>
    </w:p>
    <w:p w14:paraId="136D3F3B" w14:textId="77777777" w:rsidR="000C13BC" w:rsidRPr="000C13BC" w:rsidRDefault="000C13BC" w:rsidP="000C13BC">
      <w:pPr>
        <w:numPr>
          <w:ilvl w:val="0"/>
          <w:numId w:val="15"/>
        </w:numPr>
        <w:shd w:val="clear" w:color="auto" w:fill="FFFFFF"/>
        <w:spacing w:line="300" w:lineRule="atLeast"/>
        <w:ind w:left="375"/>
        <w:rPr>
          <w:rFonts w:ascii="Arial" w:eastAsia="Times New Roman" w:hAnsi="Arial" w:cs="Arial"/>
          <w:color w:val="252525"/>
          <w:sz w:val="27"/>
          <w:szCs w:val="27"/>
          <w:lang w:eastAsia="zh-CN"/>
        </w:rPr>
      </w:pPr>
      <w:r w:rsidRPr="000C13BC">
        <w:rPr>
          <w:rFonts w:ascii="Arial" w:eastAsia="Times New Roman" w:hAnsi="Arial" w:cs="Arial"/>
          <w:color w:val="252525"/>
          <w:sz w:val="27"/>
          <w:szCs w:val="27"/>
          <w:lang w:eastAsia="zh-CN"/>
        </w:rPr>
        <w:t>Gifts (</w:t>
      </w:r>
      <w:hyperlink r:id="rId24" w:tgtFrame="_blank" w:history="1">
        <w:r w:rsidRPr="000C13BC">
          <w:rPr>
            <w:rFonts w:ascii="Arial" w:eastAsia="Times New Roman" w:hAnsi="Arial" w:cs="Arial"/>
            <w:color w:val="008CDD"/>
            <w:sz w:val="27"/>
            <w:szCs w:val="27"/>
            <w:lang w:eastAsia="zh-CN"/>
          </w:rPr>
          <w:t>§ 10-6B-56</w:t>
        </w:r>
      </w:hyperlink>
      <w:r w:rsidRPr="000C13BC">
        <w:rPr>
          <w:rFonts w:ascii="Arial" w:eastAsia="Times New Roman" w:hAnsi="Arial" w:cs="Arial"/>
          <w:color w:val="252525"/>
          <w:sz w:val="27"/>
          <w:szCs w:val="27"/>
          <w:lang w:eastAsia="zh-CN"/>
        </w:rPr>
        <w:t>).</w:t>
      </w:r>
    </w:p>
    <w:p w14:paraId="611F7C72" w14:textId="77777777" w:rsidR="000C13BC" w:rsidRPr="000C13BC" w:rsidRDefault="000C13BC" w:rsidP="000C13BC">
      <w:pPr>
        <w:shd w:val="clear" w:color="auto" w:fill="FFFFFF"/>
        <w:spacing w:before="200" w:after="200" w:line="360" w:lineRule="atLeast"/>
        <w:outlineLvl w:val="2"/>
        <w:rPr>
          <w:rFonts w:ascii="Arial" w:eastAsia="Times New Roman" w:hAnsi="Arial" w:cs="Arial"/>
          <w:color w:val="252525"/>
          <w:sz w:val="32"/>
          <w:szCs w:val="32"/>
          <w:lang w:eastAsia="zh-CN"/>
        </w:rPr>
      </w:pPr>
      <w:r w:rsidRPr="000C13BC">
        <w:rPr>
          <w:rFonts w:ascii="Arial" w:eastAsia="Times New Roman" w:hAnsi="Arial" w:cs="Arial"/>
          <w:b/>
          <w:bCs/>
          <w:color w:val="252525"/>
          <w:sz w:val="32"/>
          <w:szCs w:val="32"/>
          <w:lang w:eastAsia="zh-CN"/>
        </w:rPr>
        <w:t>Step 3 – Prepare Estate Information</w:t>
      </w:r>
    </w:p>
    <w:p w14:paraId="0FF5FC3B" w14:textId="77777777" w:rsidR="000C13BC" w:rsidRPr="000C13BC" w:rsidRDefault="000C13BC" w:rsidP="000C13BC">
      <w:pPr>
        <w:shd w:val="clear" w:color="auto" w:fill="FFFFFF"/>
        <w:spacing w:before="200" w:after="200"/>
        <w:rPr>
          <w:rFonts w:ascii="Arial" w:hAnsi="Arial" w:cs="Arial"/>
          <w:color w:val="252525"/>
          <w:sz w:val="27"/>
          <w:szCs w:val="27"/>
          <w:lang w:eastAsia="zh-CN"/>
        </w:rPr>
      </w:pPr>
      <w:r w:rsidRPr="000C13BC">
        <w:rPr>
          <w:rFonts w:ascii="Arial" w:hAnsi="Arial" w:cs="Arial"/>
          <w:color w:val="252525"/>
          <w:sz w:val="27"/>
          <w:szCs w:val="27"/>
          <w:lang w:eastAsia="zh-CN"/>
        </w:rPr>
        <w:t>A list identifying the principal’s personal property, real estate, vehicles, financial accounts, and other assets should be prepared and recorded on a </w:t>
      </w:r>
      <w:hyperlink r:id="rId25" w:history="1">
        <w:r w:rsidRPr="000C13BC">
          <w:rPr>
            <w:rFonts w:ascii="Arial" w:hAnsi="Arial" w:cs="Arial"/>
            <w:color w:val="008CDD"/>
            <w:sz w:val="27"/>
            <w:szCs w:val="27"/>
            <w:lang w:eastAsia="zh-CN"/>
          </w:rPr>
          <w:t>Current Assets List</w:t>
        </w:r>
      </w:hyperlink>
      <w:r w:rsidRPr="000C13BC">
        <w:rPr>
          <w:rFonts w:ascii="Arial" w:hAnsi="Arial" w:cs="Arial"/>
          <w:color w:val="252525"/>
          <w:sz w:val="27"/>
          <w:szCs w:val="27"/>
          <w:lang w:eastAsia="zh-CN"/>
        </w:rPr>
        <w:t>. Documenting the principal’s estate in this manner is advantageous to the beneficiaries and trustees (if applicable) as it reduces the time needed to determine which assets have been designated for distribution by the principal.</w:t>
      </w:r>
    </w:p>
    <w:p w14:paraId="6ADA1C9A" w14:textId="77777777" w:rsidR="000C13BC" w:rsidRPr="000C13BC" w:rsidRDefault="000C13BC" w:rsidP="000C13BC">
      <w:pPr>
        <w:shd w:val="clear" w:color="auto" w:fill="FFFFFF"/>
        <w:spacing w:before="200" w:after="200" w:line="360" w:lineRule="atLeast"/>
        <w:outlineLvl w:val="2"/>
        <w:rPr>
          <w:rFonts w:ascii="Arial" w:eastAsia="Times New Roman" w:hAnsi="Arial" w:cs="Arial"/>
          <w:color w:val="252525"/>
          <w:sz w:val="32"/>
          <w:szCs w:val="32"/>
          <w:lang w:eastAsia="zh-CN"/>
        </w:rPr>
      </w:pPr>
      <w:r w:rsidRPr="000C13BC">
        <w:rPr>
          <w:rFonts w:ascii="Arial" w:eastAsia="Times New Roman" w:hAnsi="Arial" w:cs="Arial"/>
          <w:b/>
          <w:bCs/>
          <w:color w:val="252525"/>
          <w:sz w:val="32"/>
          <w:szCs w:val="32"/>
          <w:lang w:eastAsia="zh-CN"/>
        </w:rPr>
        <w:t>Step 4 – Identify the Beneficiaries</w:t>
      </w:r>
    </w:p>
    <w:p w14:paraId="4C88307D" w14:textId="77777777" w:rsidR="000C13BC" w:rsidRPr="000C13BC" w:rsidRDefault="000C13BC" w:rsidP="000C13BC">
      <w:pPr>
        <w:shd w:val="clear" w:color="auto" w:fill="FFFFFF"/>
        <w:spacing w:before="200" w:after="200"/>
        <w:rPr>
          <w:rFonts w:ascii="Arial" w:hAnsi="Arial" w:cs="Arial"/>
          <w:color w:val="252525"/>
          <w:sz w:val="27"/>
          <w:szCs w:val="27"/>
          <w:lang w:eastAsia="zh-CN"/>
        </w:rPr>
      </w:pPr>
      <w:r w:rsidRPr="000C13BC">
        <w:rPr>
          <w:rFonts w:ascii="Arial" w:hAnsi="Arial" w:cs="Arial"/>
          <w:color w:val="252525"/>
          <w:sz w:val="27"/>
          <w:szCs w:val="27"/>
          <w:lang w:eastAsia="zh-CN"/>
        </w:rPr>
        <w:t>After the principal has spent time itemizing their estate information, they should proceed by naming the individual(s) who will inherit their assets after death. Those chosen to receive the principal’s estate are known as the “beneficiaries.” Once the beneficiaries are chosen, the principal should relay the information to the individuals thus ensuring that they are fully prepared to take on the estate when the time comes.</w:t>
      </w:r>
    </w:p>
    <w:p w14:paraId="1FB8FEA8" w14:textId="77777777" w:rsidR="000C13BC" w:rsidRPr="000C13BC" w:rsidRDefault="000C13BC" w:rsidP="000C13BC">
      <w:pPr>
        <w:shd w:val="clear" w:color="auto" w:fill="FFFFFF"/>
        <w:spacing w:before="200" w:after="200" w:line="360" w:lineRule="atLeast"/>
        <w:outlineLvl w:val="2"/>
        <w:rPr>
          <w:rFonts w:ascii="Arial" w:eastAsia="Times New Roman" w:hAnsi="Arial" w:cs="Arial"/>
          <w:color w:val="252525"/>
          <w:sz w:val="32"/>
          <w:szCs w:val="32"/>
          <w:lang w:eastAsia="zh-CN"/>
        </w:rPr>
      </w:pPr>
      <w:r w:rsidRPr="000C13BC">
        <w:rPr>
          <w:rFonts w:ascii="Arial" w:eastAsia="Times New Roman" w:hAnsi="Arial" w:cs="Arial"/>
          <w:b/>
          <w:bCs/>
          <w:color w:val="252525"/>
          <w:sz w:val="32"/>
          <w:szCs w:val="32"/>
          <w:lang w:eastAsia="zh-CN"/>
        </w:rPr>
        <w:t>Step 5 – Create a Living Trust and/or Last Will and Testament</w:t>
      </w:r>
    </w:p>
    <w:p w14:paraId="170E454E" w14:textId="77777777" w:rsidR="000C13BC" w:rsidRPr="000C13BC" w:rsidRDefault="000C13BC" w:rsidP="000C13BC">
      <w:pPr>
        <w:shd w:val="clear" w:color="auto" w:fill="FFFFFF"/>
        <w:spacing w:before="200" w:after="200"/>
        <w:rPr>
          <w:rFonts w:ascii="Arial" w:hAnsi="Arial" w:cs="Arial"/>
          <w:color w:val="252525"/>
          <w:sz w:val="27"/>
          <w:szCs w:val="27"/>
          <w:lang w:eastAsia="zh-CN"/>
        </w:rPr>
      </w:pPr>
      <w:r w:rsidRPr="000C13BC">
        <w:rPr>
          <w:rFonts w:ascii="Arial" w:hAnsi="Arial" w:cs="Arial"/>
          <w:color w:val="252525"/>
          <w:sz w:val="27"/>
          <w:szCs w:val="27"/>
          <w:lang w:eastAsia="zh-CN"/>
        </w:rPr>
        <w:t>A document outlining the distribution of the principal’s estate will need to be created. The main purpose of the document will be to define the beneficiaries and to describe the assets each is entitled to receive. When establishing such information, the principal will consider the execution of a living trust, a last will and testament, or a combination of the two. Both documents will serve as a guide for estate distribution, though the process of administration following the principal’s death will vary significantly depending on which forms are used.</w:t>
      </w:r>
    </w:p>
    <w:p w14:paraId="198585C0" w14:textId="77777777" w:rsidR="000C13BC" w:rsidRPr="000C13BC" w:rsidRDefault="000C13BC" w:rsidP="000C13BC">
      <w:pPr>
        <w:shd w:val="clear" w:color="auto" w:fill="FFFFFF"/>
        <w:spacing w:before="200" w:after="200"/>
        <w:rPr>
          <w:rFonts w:ascii="Arial" w:hAnsi="Arial" w:cs="Arial"/>
          <w:color w:val="252525"/>
          <w:sz w:val="27"/>
          <w:szCs w:val="27"/>
          <w:lang w:eastAsia="zh-CN"/>
        </w:rPr>
      </w:pPr>
      <w:hyperlink r:id="rId26" w:history="1">
        <w:r w:rsidRPr="000C13BC">
          <w:rPr>
            <w:rFonts w:ascii="Arial" w:hAnsi="Arial" w:cs="Arial"/>
            <w:color w:val="008CDD"/>
            <w:sz w:val="27"/>
            <w:szCs w:val="27"/>
            <w:lang w:eastAsia="zh-CN"/>
          </w:rPr>
          <w:t>Last Will and Testament (‘Will’)</w:t>
        </w:r>
      </w:hyperlink>
      <w:r w:rsidRPr="000C13BC">
        <w:rPr>
          <w:rFonts w:ascii="Arial" w:hAnsi="Arial" w:cs="Arial"/>
          <w:color w:val="252525"/>
          <w:sz w:val="27"/>
          <w:szCs w:val="27"/>
          <w:lang w:eastAsia="zh-CN"/>
        </w:rPr>
        <w:t> – This form is a legal instrument used to communicate an individual’s wishes concerning the distribution of their estate. The document </w:t>
      </w:r>
      <w:r w:rsidRPr="000C13BC">
        <w:rPr>
          <w:rFonts w:ascii="Arial" w:hAnsi="Arial" w:cs="Arial"/>
          <w:b/>
          <w:bCs/>
          <w:color w:val="252525"/>
          <w:sz w:val="27"/>
          <w:szCs w:val="27"/>
          <w:lang w:eastAsia="zh-CN"/>
        </w:rPr>
        <w:t>will be subject to the probate process</w:t>
      </w:r>
      <w:r w:rsidRPr="000C13BC">
        <w:rPr>
          <w:rFonts w:ascii="Arial" w:hAnsi="Arial" w:cs="Arial"/>
          <w:color w:val="252525"/>
          <w:sz w:val="27"/>
          <w:szCs w:val="27"/>
          <w:lang w:eastAsia="zh-CN"/>
        </w:rPr>
        <w:t>, meaning that the court will examine the principal’s estate before distribution can occur. Note that the probate process can greatly lengthen the time required to settle the estate and can result in costly fees.</w:t>
      </w:r>
    </w:p>
    <w:p w14:paraId="3268C402" w14:textId="77777777" w:rsidR="000C13BC" w:rsidRPr="000C13BC" w:rsidRDefault="000C13BC" w:rsidP="000C13BC">
      <w:pPr>
        <w:numPr>
          <w:ilvl w:val="0"/>
          <w:numId w:val="16"/>
        </w:numPr>
        <w:shd w:val="clear" w:color="auto" w:fill="FFFFFF"/>
        <w:spacing w:before="200" w:after="200" w:line="300" w:lineRule="atLeast"/>
        <w:ind w:left="375"/>
        <w:rPr>
          <w:rFonts w:ascii="Arial" w:eastAsia="Times New Roman" w:hAnsi="Arial" w:cs="Arial"/>
          <w:color w:val="252525"/>
          <w:sz w:val="27"/>
          <w:szCs w:val="27"/>
          <w:lang w:eastAsia="zh-CN"/>
        </w:rPr>
      </w:pPr>
      <w:r w:rsidRPr="000C13BC">
        <w:rPr>
          <w:rFonts w:ascii="Arial" w:eastAsia="Times New Roman" w:hAnsi="Arial" w:cs="Arial"/>
          <w:b/>
          <w:bCs/>
          <w:color w:val="252525"/>
          <w:sz w:val="27"/>
          <w:szCs w:val="27"/>
          <w:lang w:eastAsia="zh-CN"/>
        </w:rPr>
        <w:t>Signing Requirements</w:t>
      </w:r>
      <w:r w:rsidRPr="000C13BC">
        <w:rPr>
          <w:rFonts w:ascii="Arial" w:eastAsia="Times New Roman" w:hAnsi="Arial" w:cs="Arial"/>
          <w:color w:val="252525"/>
          <w:sz w:val="27"/>
          <w:szCs w:val="27"/>
          <w:lang w:eastAsia="zh-CN"/>
        </w:rPr>
        <w:t> (</w:t>
      </w:r>
      <w:hyperlink r:id="rId27" w:tgtFrame="_blank" w:history="1">
        <w:r w:rsidRPr="000C13BC">
          <w:rPr>
            <w:rFonts w:ascii="Arial" w:eastAsia="Times New Roman" w:hAnsi="Arial" w:cs="Arial"/>
            <w:color w:val="008CDD"/>
            <w:sz w:val="27"/>
            <w:szCs w:val="27"/>
            <w:lang w:eastAsia="zh-CN"/>
          </w:rPr>
          <w:t>§ 53-4-20</w:t>
        </w:r>
      </w:hyperlink>
      <w:r w:rsidRPr="000C13BC">
        <w:rPr>
          <w:rFonts w:ascii="Arial" w:eastAsia="Times New Roman" w:hAnsi="Arial" w:cs="Arial"/>
          <w:color w:val="252525"/>
          <w:sz w:val="27"/>
          <w:szCs w:val="27"/>
          <w:lang w:eastAsia="zh-CN"/>
        </w:rPr>
        <w:t>) – Must be signed by the testator and two (2) competent witnesses.</w:t>
      </w:r>
    </w:p>
    <w:p w14:paraId="78344F79" w14:textId="77777777" w:rsidR="000C13BC" w:rsidRPr="000C13BC" w:rsidRDefault="000C13BC" w:rsidP="000C13BC">
      <w:pPr>
        <w:shd w:val="clear" w:color="auto" w:fill="FFFFFF"/>
        <w:spacing w:before="200" w:after="200"/>
        <w:rPr>
          <w:rFonts w:ascii="Arial" w:hAnsi="Arial" w:cs="Arial"/>
          <w:color w:val="252525"/>
          <w:sz w:val="27"/>
          <w:szCs w:val="27"/>
          <w:lang w:eastAsia="zh-CN"/>
        </w:rPr>
      </w:pPr>
      <w:hyperlink r:id="rId28" w:history="1">
        <w:r w:rsidRPr="000C13BC">
          <w:rPr>
            <w:rFonts w:ascii="Arial" w:hAnsi="Arial" w:cs="Arial"/>
            <w:color w:val="008CDD"/>
            <w:sz w:val="27"/>
            <w:szCs w:val="27"/>
            <w:lang w:eastAsia="zh-CN"/>
          </w:rPr>
          <w:t>Living Trust (Revocable)</w:t>
        </w:r>
      </w:hyperlink>
      <w:r w:rsidRPr="000C13BC">
        <w:rPr>
          <w:rFonts w:ascii="Arial" w:hAnsi="Arial" w:cs="Arial"/>
          <w:color w:val="252525"/>
          <w:sz w:val="27"/>
          <w:szCs w:val="27"/>
          <w:lang w:eastAsia="zh-CN"/>
        </w:rPr>
        <w:t> – Allows the principal to create an entity which can hold their assets until they die. A trustee will be selected to manage the trust and ensure that the assets are properly maintained during the principal’s lifetime (the principal often acts as trustee). The living trust </w:t>
      </w:r>
      <w:r w:rsidRPr="000C13BC">
        <w:rPr>
          <w:rFonts w:ascii="Arial" w:hAnsi="Arial" w:cs="Arial"/>
          <w:b/>
          <w:bCs/>
          <w:color w:val="252525"/>
          <w:sz w:val="27"/>
          <w:szCs w:val="27"/>
          <w:lang w:eastAsia="zh-CN"/>
        </w:rPr>
        <w:t>will avoid the probate court</w:t>
      </w:r>
      <w:r w:rsidRPr="000C13BC">
        <w:rPr>
          <w:rFonts w:ascii="Arial" w:hAnsi="Arial" w:cs="Arial"/>
          <w:color w:val="252525"/>
          <w:sz w:val="27"/>
          <w:szCs w:val="27"/>
          <w:lang w:eastAsia="zh-CN"/>
        </w:rPr>
        <w:t> resulting in the possible immediate distribution of the estate following the principal’s death.</w:t>
      </w:r>
    </w:p>
    <w:p w14:paraId="09D9D17E" w14:textId="77777777" w:rsidR="000C13BC" w:rsidRPr="000C13BC" w:rsidRDefault="000C13BC" w:rsidP="000C13BC">
      <w:pPr>
        <w:numPr>
          <w:ilvl w:val="0"/>
          <w:numId w:val="17"/>
        </w:numPr>
        <w:shd w:val="clear" w:color="auto" w:fill="FFFFFF"/>
        <w:spacing w:before="200" w:after="200" w:line="300" w:lineRule="atLeast"/>
        <w:ind w:left="375"/>
        <w:rPr>
          <w:rFonts w:ascii="Arial" w:eastAsia="Times New Roman" w:hAnsi="Arial" w:cs="Arial"/>
          <w:color w:val="252525"/>
          <w:sz w:val="27"/>
          <w:szCs w:val="27"/>
          <w:lang w:eastAsia="zh-CN"/>
        </w:rPr>
      </w:pPr>
      <w:r w:rsidRPr="000C13BC">
        <w:rPr>
          <w:rFonts w:ascii="Arial" w:eastAsia="Times New Roman" w:hAnsi="Arial" w:cs="Arial"/>
          <w:b/>
          <w:bCs/>
          <w:color w:val="252525"/>
          <w:sz w:val="27"/>
          <w:szCs w:val="27"/>
          <w:lang w:eastAsia="zh-CN"/>
        </w:rPr>
        <w:t>Signing Requirements</w:t>
      </w:r>
      <w:r w:rsidRPr="000C13BC">
        <w:rPr>
          <w:rFonts w:ascii="Arial" w:eastAsia="Times New Roman" w:hAnsi="Arial" w:cs="Arial"/>
          <w:color w:val="252525"/>
          <w:sz w:val="27"/>
          <w:szCs w:val="27"/>
          <w:lang w:eastAsia="zh-CN"/>
        </w:rPr>
        <w:t> – No statutory signing requirement All parties should sign in the presence of a notary public and two (2) witnesses.</w:t>
      </w:r>
    </w:p>
    <w:p w14:paraId="04467E0F" w14:textId="77777777" w:rsidR="000C13BC" w:rsidRPr="000C13BC" w:rsidRDefault="000C13BC" w:rsidP="000C13BC">
      <w:pPr>
        <w:shd w:val="clear" w:color="auto" w:fill="FFFFFF"/>
        <w:spacing w:before="200" w:after="200" w:line="360" w:lineRule="atLeast"/>
        <w:outlineLvl w:val="2"/>
        <w:rPr>
          <w:rFonts w:ascii="Arial" w:eastAsia="Times New Roman" w:hAnsi="Arial" w:cs="Arial"/>
          <w:color w:val="252525"/>
          <w:sz w:val="32"/>
          <w:szCs w:val="32"/>
          <w:lang w:eastAsia="zh-CN"/>
        </w:rPr>
      </w:pPr>
      <w:r w:rsidRPr="000C13BC">
        <w:rPr>
          <w:rFonts w:ascii="Arial" w:eastAsia="Times New Roman" w:hAnsi="Arial" w:cs="Arial"/>
          <w:b/>
          <w:bCs/>
          <w:color w:val="252525"/>
          <w:sz w:val="32"/>
          <w:szCs w:val="32"/>
          <w:lang w:eastAsia="zh-CN"/>
        </w:rPr>
        <w:t>Step 6 – Store the Documents in a Safe Place</w:t>
      </w:r>
    </w:p>
    <w:p w14:paraId="1F5EAA2B" w14:textId="77777777" w:rsidR="000C13BC" w:rsidRPr="000C13BC" w:rsidRDefault="000C13BC" w:rsidP="000C13BC">
      <w:pPr>
        <w:shd w:val="clear" w:color="auto" w:fill="FFFFFF"/>
        <w:spacing w:before="200" w:after="200"/>
        <w:rPr>
          <w:rFonts w:ascii="Arial" w:hAnsi="Arial" w:cs="Arial"/>
          <w:color w:val="252525"/>
          <w:sz w:val="27"/>
          <w:szCs w:val="27"/>
          <w:lang w:eastAsia="zh-CN"/>
        </w:rPr>
      </w:pPr>
      <w:r w:rsidRPr="000C13BC">
        <w:rPr>
          <w:rFonts w:ascii="Arial" w:hAnsi="Arial" w:cs="Arial"/>
          <w:color w:val="252525"/>
          <w:sz w:val="27"/>
          <w:szCs w:val="27"/>
          <w:lang w:eastAsia="zh-CN"/>
        </w:rPr>
        <w:t>After completing the above steps, the principal’s estate will be prepared and protected for all circumstances. The principal should be sure to make copies of all important paperwork before storing the documents in a secure location. It may be best to leave copies with the principal’s attorney and close relatives so that there will always be someone with proof of the principal’s preferences.</w:t>
      </w:r>
    </w:p>
    <w:p w14:paraId="0DB2E740" w14:textId="77777777" w:rsidR="000C13BC" w:rsidRPr="000C13BC" w:rsidRDefault="000C13BC" w:rsidP="000C13BC">
      <w:pPr>
        <w:shd w:val="clear" w:color="auto" w:fill="FFFFFF"/>
        <w:spacing w:line="360" w:lineRule="atLeast"/>
        <w:outlineLvl w:val="0"/>
        <w:rPr>
          <w:rFonts w:ascii="Arial" w:eastAsia="Times New Roman" w:hAnsi="Arial" w:cs="Arial"/>
          <w:b/>
          <w:bCs/>
          <w:color w:val="252525"/>
          <w:kern w:val="36"/>
          <w:sz w:val="36"/>
          <w:szCs w:val="36"/>
          <w:lang w:eastAsia="zh-CN"/>
        </w:rPr>
      </w:pPr>
      <w:r w:rsidRPr="000C13BC">
        <w:rPr>
          <w:rFonts w:ascii="Arial" w:eastAsia="Times New Roman" w:hAnsi="Arial" w:cs="Arial"/>
          <w:b/>
          <w:bCs/>
          <w:color w:val="252525"/>
          <w:kern w:val="36"/>
          <w:sz w:val="36"/>
          <w:szCs w:val="36"/>
          <w:lang w:eastAsia="zh-CN"/>
        </w:rPr>
        <w:t>Georgia Estate Planning Laws</w:t>
      </w:r>
    </w:p>
    <w:p w14:paraId="235E3B7F" w14:textId="77777777" w:rsidR="000C13BC" w:rsidRPr="000C13BC" w:rsidRDefault="000C13BC" w:rsidP="000C13BC">
      <w:pPr>
        <w:numPr>
          <w:ilvl w:val="0"/>
          <w:numId w:val="18"/>
        </w:numPr>
        <w:shd w:val="clear" w:color="auto" w:fill="FFFFFF"/>
        <w:spacing w:line="300" w:lineRule="atLeast"/>
        <w:ind w:left="375"/>
        <w:rPr>
          <w:rFonts w:ascii="Arial" w:eastAsia="Times New Roman" w:hAnsi="Arial" w:cs="Arial"/>
          <w:color w:val="252525"/>
          <w:sz w:val="27"/>
          <w:szCs w:val="27"/>
          <w:lang w:eastAsia="zh-CN"/>
        </w:rPr>
      </w:pPr>
      <w:r w:rsidRPr="000C13BC">
        <w:rPr>
          <w:rFonts w:ascii="Arial" w:eastAsia="Times New Roman" w:hAnsi="Arial" w:cs="Arial"/>
          <w:b/>
          <w:bCs/>
          <w:color w:val="252525"/>
          <w:sz w:val="27"/>
          <w:szCs w:val="27"/>
          <w:lang w:eastAsia="zh-CN"/>
        </w:rPr>
        <w:t>Advanced Directive for Health Care</w:t>
      </w:r>
      <w:r w:rsidRPr="000C13BC">
        <w:rPr>
          <w:rFonts w:ascii="Arial" w:eastAsia="Times New Roman" w:hAnsi="Arial" w:cs="Arial"/>
          <w:color w:val="252525"/>
          <w:sz w:val="27"/>
          <w:szCs w:val="27"/>
          <w:lang w:eastAsia="zh-CN"/>
        </w:rPr>
        <w:t> – </w:t>
      </w:r>
      <w:hyperlink r:id="rId29" w:tgtFrame="_blank" w:history="1">
        <w:r w:rsidRPr="000C13BC">
          <w:rPr>
            <w:rFonts w:ascii="Arial" w:eastAsia="Times New Roman" w:hAnsi="Arial" w:cs="Arial"/>
            <w:color w:val="008CDD"/>
            <w:sz w:val="27"/>
            <w:szCs w:val="27"/>
            <w:lang w:eastAsia="zh-CN"/>
          </w:rPr>
          <w:t>Title 31, Chapter 32</w:t>
        </w:r>
      </w:hyperlink>
    </w:p>
    <w:p w14:paraId="711D4848" w14:textId="77777777" w:rsidR="000C13BC" w:rsidRPr="000C13BC" w:rsidRDefault="000C13BC" w:rsidP="000C13BC">
      <w:pPr>
        <w:numPr>
          <w:ilvl w:val="0"/>
          <w:numId w:val="18"/>
        </w:numPr>
        <w:shd w:val="clear" w:color="auto" w:fill="FFFFFF"/>
        <w:spacing w:line="300" w:lineRule="atLeast"/>
        <w:ind w:left="375"/>
        <w:rPr>
          <w:rFonts w:ascii="Arial" w:eastAsia="Times New Roman" w:hAnsi="Arial" w:cs="Arial"/>
          <w:color w:val="252525"/>
          <w:sz w:val="27"/>
          <w:szCs w:val="27"/>
          <w:lang w:eastAsia="zh-CN"/>
        </w:rPr>
      </w:pPr>
      <w:r w:rsidRPr="000C13BC">
        <w:rPr>
          <w:rFonts w:ascii="Arial" w:eastAsia="Times New Roman" w:hAnsi="Arial" w:cs="Arial"/>
          <w:b/>
          <w:bCs/>
          <w:color w:val="252525"/>
          <w:sz w:val="27"/>
          <w:szCs w:val="27"/>
          <w:lang w:eastAsia="zh-CN"/>
        </w:rPr>
        <w:t>Durable Power of Attorney </w:t>
      </w:r>
      <w:r w:rsidRPr="000C13BC">
        <w:rPr>
          <w:rFonts w:ascii="Arial" w:eastAsia="Times New Roman" w:hAnsi="Arial" w:cs="Arial"/>
          <w:color w:val="252525"/>
          <w:sz w:val="27"/>
          <w:szCs w:val="27"/>
          <w:lang w:eastAsia="zh-CN"/>
        </w:rPr>
        <w:t>– </w:t>
      </w:r>
      <w:hyperlink r:id="rId30" w:tgtFrame="_blank" w:history="1">
        <w:r w:rsidRPr="000C13BC">
          <w:rPr>
            <w:rFonts w:ascii="Arial" w:eastAsia="Times New Roman" w:hAnsi="Arial" w:cs="Arial"/>
            <w:color w:val="008CDD"/>
            <w:sz w:val="27"/>
            <w:szCs w:val="27"/>
            <w:lang w:eastAsia="zh-CN"/>
          </w:rPr>
          <w:t>Title 10, Chapter 6B</w:t>
        </w:r>
      </w:hyperlink>
    </w:p>
    <w:p w14:paraId="0B6AE77F" w14:textId="77777777" w:rsidR="000C13BC" w:rsidRPr="000C13BC" w:rsidRDefault="000C13BC" w:rsidP="000C13BC">
      <w:pPr>
        <w:numPr>
          <w:ilvl w:val="0"/>
          <w:numId w:val="18"/>
        </w:numPr>
        <w:shd w:val="clear" w:color="auto" w:fill="FFFFFF"/>
        <w:spacing w:line="300" w:lineRule="atLeast"/>
        <w:ind w:left="375"/>
        <w:rPr>
          <w:rFonts w:ascii="Arial" w:eastAsia="Times New Roman" w:hAnsi="Arial" w:cs="Arial"/>
          <w:color w:val="252525"/>
          <w:sz w:val="27"/>
          <w:szCs w:val="27"/>
          <w:lang w:eastAsia="zh-CN"/>
        </w:rPr>
      </w:pPr>
      <w:r w:rsidRPr="000C13BC">
        <w:rPr>
          <w:rFonts w:ascii="Arial" w:eastAsia="Times New Roman" w:hAnsi="Arial" w:cs="Arial"/>
          <w:b/>
          <w:bCs/>
          <w:color w:val="252525"/>
          <w:sz w:val="27"/>
          <w:szCs w:val="27"/>
          <w:lang w:eastAsia="zh-CN"/>
        </w:rPr>
        <w:t>Last Will and Testament</w:t>
      </w:r>
      <w:r w:rsidRPr="000C13BC">
        <w:rPr>
          <w:rFonts w:ascii="Arial" w:eastAsia="Times New Roman" w:hAnsi="Arial" w:cs="Arial"/>
          <w:color w:val="252525"/>
          <w:sz w:val="27"/>
          <w:szCs w:val="27"/>
          <w:lang w:eastAsia="zh-CN"/>
        </w:rPr>
        <w:t> – </w:t>
      </w:r>
      <w:hyperlink r:id="rId31" w:tgtFrame="_blank" w:history="1">
        <w:r w:rsidRPr="000C13BC">
          <w:rPr>
            <w:rFonts w:ascii="Arial" w:eastAsia="Times New Roman" w:hAnsi="Arial" w:cs="Arial"/>
            <w:color w:val="008CDD"/>
            <w:sz w:val="27"/>
            <w:szCs w:val="27"/>
            <w:lang w:eastAsia="zh-CN"/>
          </w:rPr>
          <w:t>Title 53, Chapter 4</w:t>
        </w:r>
      </w:hyperlink>
    </w:p>
    <w:p w14:paraId="1F3FB800" w14:textId="77777777" w:rsidR="000C13BC" w:rsidRPr="000C13BC" w:rsidRDefault="000C13BC" w:rsidP="000C13BC">
      <w:pPr>
        <w:numPr>
          <w:ilvl w:val="0"/>
          <w:numId w:val="18"/>
        </w:numPr>
        <w:shd w:val="clear" w:color="auto" w:fill="FFFFFF"/>
        <w:spacing w:line="300" w:lineRule="atLeast"/>
        <w:ind w:left="375"/>
        <w:rPr>
          <w:rFonts w:ascii="Arial" w:eastAsia="Times New Roman" w:hAnsi="Arial" w:cs="Arial"/>
          <w:color w:val="252525"/>
          <w:sz w:val="27"/>
          <w:szCs w:val="27"/>
          <w:lang w:eastAsia="zh-CN"/>
        </w:rPr>
      </w:pPr>
      <w:r w:rsidRPr="000C13BC">
        <w:rPr>
          <w:rFonts w:ascii="Arial" w:eastAsia="Times New Roman" w:hAnsi="Arial" w:cs="Arial"/>
          <w:b/>
          <w:bCs/>
          <w:color w:val="252525"/>
          <w:sz w:val="27"/>
          <w:szCs w:val="27"/>
          <w:lang w:eastAsia="zh-CN"/>
        </w:rPr>
        <w:t>Revocable Living Trust</w:t>
      </w:r>
      <w:r w:rsidRPr="000C13BC">
        <w:rPr>
          <w:rFonts w:ascii="Arial" w:eastAsia="Times New Roman" w:hAnsi="Arial" w:cs="Arial"/>
          <w:color w:val="252525"/>
          <w:sz w:val="27"/>
          <w:szCs w:val="27"/>
          <w:lang w:eastAsia="zh-CN"/>
        </w:rPr>
        <w:t> – </w:t>
      </w:r>
      <w:hyperlink r:id="rId32" w:tgtFrame="_blank" w:history="1">
        <w:r w:rsidRPr="000C13BC">
          <w:rPr>
            <w:rFonts w:ascii="Arial" w:eastAsia="Times New Roman" w:hAnsi="Arial" w:cs="Arial"/>
            <w:color w:val="008CDD"/>
            <w:sz w:val="27"/>
            <w:szCs w:val="27"/>
            <w:lang w:eastAsia="zh-CN"/>
          </w:rPr>
          <w:t>Title 53, Chapter 12, Article 3</w:t>
        </w:r>
      </w:hyperlink>
    </w:p>
    <w:p w14:paraId="5A3BA41C" w14:textId="77777777" w:rsidR="007E6892" w:rsidRPr="000C13BC" w:rsidRDefault="007E6892" w:rsidP="000C13BC">
      <w:pPr>
        <w:spacing w:before="200" w:after="200"/>
        <w:rPr>
          <w:rFonts w:ascii="Arial" w:hAnsi="Arial" w:cs="Arial"/>
          <w:sz w:val="27"/>
          <w:szCs w:val="27"/>
        </w:rPr>
      </w:pPr>
    </w:p>
    <w:sectPr w:rsidR="007E6892" w:rsidRPr="000C13BC" w:rsidSect="00F052B0">
      <w:footerReference w:type="default" r:id="rId3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EAADE" w14:textId="77777777" w:rsidR="00686536" w:rsidRDefault="00686536" w:rsidP="007E6892">
      <w:r>
        <w:separator/>
      </w:r>
    </w:p>
  </w:endnote>
  <w:endnote w:type="continuationSeparator" w:id="0">
    <w:p w14:paraId="002CDD83" w14:textId="77777777" w:rsidR="00686536" w:rsidRDefault="00686536" w:rsidP="007E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C2868" w14:textId="77777777" w:rsidR="00873899" w:rsidRPr="00BE4C06" w:rsidRDefault="00873899" w:rsidP="00873899">
    <w:pPr>
      <w:pStyle w:val="Footer"/>
      <w:framePr w:w="1941" w:wrap="none" w:vAnchor="text" w:hAnchor="page" w:x="9221" w:y="128"/>
      <w:jc w:val="right"/>
      <w:rPr>
        <w:rStyle w:val="PageNumber"/>
        <w:rFonts w:ascii="Arial" w:hAnsi="Arial" w:cs="Arial"/>
        <w:u w:val="single"/>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686536">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686536">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51D7B7B6" w14:textId="39A63E50" w:rsidR="00873899" w:rsidRPr="00873899" w:rsidRDefault="00873899" w:rsidP="00873899">
    <w:pPr>
      <w:pStyle w:val="Footer"/>
      <w:tabs>
        <w:tab w:val="clear" w:pos="4680"/>
        <w:tab w:val="clear" w:pos="9360"/>
        <w:tab w:val="left" w:pos="6180"/>
      </w:tabs>
      <w:ind w:right="360"/>
      <w:rPr>
        <w:rFonts w:ascii="Arial" w:hAnsi="Arial" w:cs="Arial"/>
      </w:rPr>
    </w:pPr>
    <w:r w:rsidRPr="00BE4C06">
      <w:rPr>
        <w:rStyle w:val="Hyperlink"/>
        <w:rFonts w:cs="Arial"/>
        <w:noProof/>
        <w:lang w:eastAsia="zh-CN"/>
      </w:rPr>
      <w:drawing>
        <wp:inline distT="0" distB="0" distL="0" distR="0" wp14:anchorId="5E8F3C1C" wp14:editId="3801D71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E4C06">
      <w:rPr>
        <w:rFonts w:ascii="Arial" w:hAnsi="Arial" w:cs="Arial"/>
      </w:rPr>
      <w:t xml:space="preserve"> </w:t>
    </w:r>
    <w:r w:rsidRPr="00BE4C06">
      <w:rPr>
        <w:rFonts w:ascii="Arial" w:hAnsi="Arial" w:cs="Arial"/>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39F6E" w14:textId="77777777" w:rsidR="00686536" w:rsidRDefault="00686536" w:rsidP="007E6892">
      <w:r>
        <w:separator/>
      </w:r>
    </w:p>
  </w:footnote>
  <w:footnote w:type="continuationSeparator" w:id="0">
    <w:p w14:paraId="270DCDFD" w14:textId="77777777" w:rsidR="00686536" w:rsidRDefault="00686536" w:rsidP="007E68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5BE4"/>
    <w:multiLevelType w:val="multilevel"/>
    <w:tmpl w:val="EE5A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B6539"/>
    <w:multiLevelType w:val="multilevel"/>
    <w:tmpl w:val="FDA0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60E09"/>
    <w:multiLevelType w:val="multilevel"/>
    <w:tmpl w:val="54D4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727BF"/>
    <w:multiLevelType w:val="multilevel"/>
    <w:tmpl w:val="28EA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D762B"/>
    <w:multiLevelType w:val="multilevel"/>
    <w:tmpl w:val="413E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63589"/>
    <w:multiLevelType w:val="multilevel"/>
    <w:tmpl w:val="FF9A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481342"/>
    <w:multiLevelType w:val="multilevel"/>
    <w:tmpl w:val="160C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4C5E22"/>
    <w:multiLevelType w:val="multilevel"/>
    <w:tmpl w:val="30AC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8B18E2"/>
    <w:multiLevelType w:val="multilevel"/>
    <w:tmpl w:val="7F5C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F23B34"/>
    <w:multiLevelType w:val="multilevel"/>
    <w:tmpl w:val="CF24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944397"/>
    <w:multiLevelType w:val="multilevel"/>
    <w:tmpl w:val="6C30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336E90"/>
    <w:multiLevelType w:val="multilevel"/>
    <w:tmpl w:val="CB24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FE2E0F"/>
    <w:multiLevelType w:val="multilevel"/>
    <w:tmpl w:val="6352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18625C"/>
    <w:multiLevelType w:val="multilevel"/>
    <w:tmpl w:val="589A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B2250C"/>
    <w:multiLevelType w:val="multilevel"/>
    <w:tmpl w:val="09E8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99275D"/>
    <w:multiLevelType w:val="multilevel"/>
    <w:tmpl w:val="834A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D50C4F"/>
    <w:multiLevelType w:val="multilevel"/>
    <w:tmpl w:val="CE7A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CB02F6"/>
    <w:multiLevelType w:val="multilevel"/>
    <w:tmpl w:val="78C0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3"/>
  </w:num>
  <w:num w:numId="4">
    <w:abstractNumId w:val="5"/>
  </w:num>
  <w:num w:numId="5">
    <w:abstractNumId w:val="9"/>
  </w:num>
  <w:num w:numId="6">
    <w:abstractNumId w:val="16"/>
  </w:num>
  <w:num w:numId="7">
    <w:abstractNumId w:val="0"/>
  </w:num>
  <w:num w:numId="8">
    <w:abstractNumId w:val="17"/>
  </w:num>
  <w:num w:numId="9">
    <w:abstractNumId w:val="10"/>
  </w:num>
  <w:num w:numId="10">
    <w:abstractNumId w:val="15"/>
  </w:num>
  <w:num w:numId="11">
    <w:abstractNumId w:val="7"/>
  </w:num>
  <w:num w:numId="12">
    <w:abstractNumId w:val="12"/>
  </w:num>
  <w:num w:numId="13">
    <w:abstractNumId w:val="2"/>
  </w:num>
  <w:num w:numId="14">
    <w:abstractNumId w:val="4"/>
  </w:num>
  <w:num w:numId="15">
    <w:abstractNumId w:val="14"/>
  </w:num>
  <w:num w:numId="16">
    <w:abstractNumId w:val="1"/>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4D"/>
    <w:rsid w:val="0009374D"/>
    <w:rsid w:val="000C13BC"/>
    <w:rsid w:val="006258BB"/>
    <w:rsid w:val="00686536"/>
    <w:rsid w:val="006C3D62"/>
    <w:rsid w:val="007D7BCB"/>
    <w:rsid w:val="007E6892"/>
    <w:rsid w:val="00873899"/>
    <w:rsid w:val="008A7BFD"/>
    <w:rsid w:val="009B2BB8"/>
    <w:rsid w:val="00AC333F"/>
    <w:rsid w:val="00B07F63"/>
    <w:rsid w:val="00B9510E"/>
    <w:rsid w:val="00BD7843"/>
    <w:rsid w:val="00C16A24"/>
    <w:rsid w:val="00C2532A"/>
    <w:rsid w:val="00C437CA"/>
    <w:rsid w:val="00C52F9B"/>
    <w:rsid w:val="00D212A4"/>
    <w:rsid w:val="00EE1D22"/>
    <w:rsid w:val="00F052B0"/>
    <w:rsid w:val="00F57A4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3A81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E6892"/>
    <w:pPr>
      <w:spacing w:before="100" w:beforeAutospacing="1" w:after="100" w:afterAutospacing="1"/>
      <w:outlineLvl w:val="0"/>
    </w:pPr>
    <w:rPr>
      <w:rFonts w:ascii="Times New Roman" w:hAnsi="Times New Roman" w:cs="Times New Roman"/>
      <w:b/>
      <w:bCs/>
      <w:kern w:val="36"/>
      <w:sz w:val="48"/>
      <w:szCs w:val="48"/>
      <w:lang w:eastAsia="zh-CN"/>
    </w:rPr>
  </w:style>
  <w:style w:type="paragraph" w:styleId="Heading3">
    <w:name w:val="heading 3"/>
    <w:basedOn w:val="Normal"/>
    <w:link w:val="Heading3Char"/>
    <w:uiPriority w:val="9"/>
    <w:qFormat/>
    <w:rsid w:val="007E6892"/>
    <w:pPr>
      <w:spacing w:before="100" w:beforeAutospacing="1" w:after="100" w:afterAutospacing="1"/>
      <w:outlineLvl w:val="2"/>
    </w:pPr>
    <w:rPr>
      <w:rFonts w:ascii="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D22"/>
    <w:rPr>
      <w:rFonts w:ascii="Arial" w:hAnsi="Arial"/>
      <w:color w:val="000000" w:themeColor="text1"/>
      <w:u w:val="none"/>
    </w:rPr>
  </w:style>
  <w:style w:type="paragraph" w:styleId="Header">
    <w:name w:val="header"/>
    <w:basedOn w:val="Normal"/>
    <w:link w:val="HeaderChar"/>
    <w:uiPriority w:val="99"/>
    <w:unhideWhenUsed/>
    <w:rsid w:val="007E6892"/>
    <w:pPr>
      <w:tabs>
        <w:tab w:val="center" w:pos="4680"/>
        <w:tab w:val="right" w:pos="9360"/>
      </w:tabs>
    </w:pPr>
  </w:style>
  <w:style w:type="character" w:customStyle="1" w:styleId="HeaderChar">
    <w:name w:val="Header Char"/>
    <w:basedOn w:val="DefaultParagraphFont"/>
    <w:link w:val="Header"/>
    <w:uiPriority w:val="99"/>
    <w:rsid w:val="007E6892"/>
  </w:style>
  <w:style w:type="paragraph" w:styleId="Footer">
    <w:name w:val="footer"/>
    <w:basedOn w:val="Normal"/>
    <w:link w:val="FooterChar"/>
    <w:uiPriority w:val="99"/>
    <w:unhideWhenUsed/>
    <w:rsid w:val="007E6892"/>
    <w:pPr>
      <w:tabs>
        <w:tab w:val="center" w:pos="4680"/>
        <w:tab w:val="right" w:pos="9360"/>
      </w:tabs>
    </w:pPr>
  </w:style>
  <w:style w:type="character" w:customStyle="1" w:styleId="FooterChar">
    <w:name w:val="Footer Char"/>
    <w:basedOn w:val="DefaultParagraphFont"/>
    <w:link w:val="Footer"/>
    <w:uiPriority w:val="99"/>
    <w:rsid w:val="007E6892"/>
  </w:style>
  <w:style w:type="character" w:customStyle="1" w:styleId="Heading1Char">
    <w:name w:val="Heading 1 Char"/>
    <w:basedOn w:val="DefaultParagraphFont"/>
    <w:link w:val="Heading1"/>
    <w:uiPriority w:val="9"/>
    <w:rsid w:val="007E6892"/>
    <w:rPr>
      <w:rFonts w:ascii="Times New Roman" w:hAnsi="Times New Roman" w:cs="Times New Roman"/>
      <w:b/>
      <w:bCs/>
      <w:kern w:val="36"/>
      <w:sz w:val="48"/>
      <w:szCs w:val="48"/>
      <w:lang w:eastAsia="zh-CN"/>
    </w:rPr>
  </w:style>
  <w:style w:type="character" w:customStyle="1" w:styleId="Heading3Char">
    <w:name w:val="Heading 3 Char"/>
    <w:basedOn w:val="DefaultParagraphFont"/>
    <w:link w:val="Heading3"/>
    <w:uiPriority w:val="9"/>
    <w:rsid w:val="007E6892"/>
    <w:rPr>
      <w:rFonts w:ascii="Times New Roman" w:hAnsi="Times New Roman" w:cs="Times New Roman"/>
      <w:b/>
      <w:bCs/>
      <w:sz w:val="27"/>
      <w:szCs w:val="27"/>
      <w:lang w:eastAsia="zh-CN"/>
    </w:rPr>
  </w:style>
  <w:style w:type="paragraph" w:styleId="NormalWeb">
    <w:name w:val="Normal (Web)"/>
    <w:basedOn w:val="Normal"/>
    <w:uiPriority w:val="99"/>
    <w:semiHidden/>
    <w:unhideWhenUsed/>
    <w:rsid w:val="007E6892"/>
    <w:pPr>
      <w:spacing w:before="100" w:beforeAutospacing="1" w:after="100" w:afterAutospacing="1"/>
    </w:pPr>
    <w:rPr>
      <w:rFonts w:ascii="Times New Roman" w:hAnsi="Times New Roman" w:cs="Times New Roman"/>
      <w:lang w:eastAsia="zh-CN"/>
    </w:rPr>
  </w:style>
  <w:style w:type="character" w:styleId="Strong">
    <w:name w:val="Strong"/>
    <w:basedOn w:val="DefaultParagraphFont"/>
    <w:uiPriority w:val="22"/>
    <w:qFormat/>
    <w:rsid w:val="007E6892"/>
    <w:rPr>
      <w:b/>
      <w:bCs/>
    </w:rPr>
  </w:style>
  <w:style w:type="character" w:styleId="PageNumber">
    <w:name w:val="page number"/>
    <w:basedOn w:val="DefaultParagraphFont"/>
    <w:uiPriority w:val="99"/>
    <w:rsid w:val="00873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84101">
      <w:bodyDiv w:val="1"/>
      <w:marLeft w:val="0"/>
      <w:marRight w:val="0"/>
      <w:marTop w:val="0"/>
      <w:marBottom w:val="0"/>
      <w:divBdr>
        <w:top w:val="none" w:sz="0" w:space="0" w:color="auto"/>
        <w:left w:val="none" w:sz="0" w:space="0" w:color="auto"/>
        <w:bottom w:val="none" w:sz="0" w:space="0" w:color="auto"/>
        <w:right w:val="none" w:sz="0" w:space="0" w:color="auto"/>
      </w:divBdr>
    </w:div>
    <w:div w:id="659192443">
      <w:bodyDiv w:val="1"/>
      <w:marLeft w:val="0"/>
      <w:marRight w:val="0"/>
      <w:marTop w:val="0"/>
      <w:marBottom w:val="0"/>
      <w:divBdr>
        <w:top w:val="none" w:sz="0" w:space="0" w:color="auto"/>
        <w:left w:val="none" w:sz="0" w:space="0" w:color="auto"/>
        <w:bottom w:val="none" w:sz="0" w:space="0" w:color="auto"/>
        <w:right w:val="none" w:sz="0" w:space="0" w:color="auto"/>
      </w:divBdr>
    </w:div>
    <w:div w:id="1580094517">
      <w:bodyDiv w:val="1"/>
      <w:marLeft w:val="0"/>
      <w:marRight w:val="0"/>
      <w:marTop w:val="0"/>
      <w:marBottom w:val="0"/>
      <w:divBdr>
        <w:top w:val="none" w:sz="0" w:space="0" w:color="auto"/>
        <w:left w:val="none" w:sz="0" w:space="0" w:color="auto"/>
        <w:bottom w:val="none" w:sz="0" w:space="0" w:color="auto"/>
        <w:right w:val="none" w:sz="0" w:space="0" w:color="auto"/>
      </w:divBdr>
    </w:div>
    <w:div w:id="1613591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law.justia.com/codes/georgia/2017/title-10/chapter-6b/article-2/section-10-6b-52/" TargetMode="External"/><Relationship Id="rId21" Type="http://schemas.openxmlformats.org/officeDocument/2006/relationships/hyperlink" Target="https://law.justia.com/codes/georgia/2017/title-10/chapter-6b/article-2/section-10-6b-53/" TargetMode="External"/><Relationship Id="rId22" Type="http://schemas.openxmlformats.org/officeDocument/2006/relationships/hyperlink" Target="https://law.justia.com/codes/georgia/2017/title-10/chapter-6b/article-2/section-10-6b-54/" TargetMode="External"/><Relationship Id="rId23" Type="http://schemas.openxmlformats.org/officeDocument/2006/relationships/hyperlink" Target="https://law.justia.com/codes/georgia/2017/title-10/chapter-6b/article-2/section-10-6b-55/" TargetMode="External"/><Relationship Id="rId24" Type="http://schemas.openxmlformats.org/officeDocument/2006/relationships/hyperlink" Target="https://law.justia.com/codes/georgia/2017/title-10/chapter-6b/article-2/section-10-6b-56/" TargetMode="External"/><Relationship Id="rId25" Type="http://schemas.openxmlformats.org/officeDocument/2006/relationships/hyperlink" Target="https://eforms.com/estate-planning/current-assets-list/" TargetMode="External"/><Relationship Id="rId26" Type="http://schemas.openxmlformats.org/officeDocument/2006/relationships/hyperlink" Target="https://eforms.com/wills/georgia-last-will-and-testament-template/" TargetMode="External"/><Relationship Id="rId27" Type="http://schemas.openxmlformats.org/officeDocument/2006/relationships/hyperlink" Target="https://law.justia.com/codes/georgia/2017/title-53/chapter-4/article-3/section-53-4-20/" TargetMode="External"/><Relationship Id="rId28" Type="http://schemas.openxmlformats.org/officeDocument/2006/relationships/hyperlink" Target="https://eforms.com/living-trust/ga/georgia-revocable-living-trust-form/" TargetMode="External"/><Relationship Id="rId29" Type="http://schemas.openxmlformats.org/officeDocument/2006/relationships/hyperlink" Target="https://law.justia.com/codes/georgia/2017/title-31/chapter-3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law.justia.com/codes/georgia/2017/title-10/chapter-6b/" TargetMode="External"/><Relationship Id="rId31" Type="http://schemas.openxmlformats.org/officeDocument/2006/relationships/hyperlink" Target="https://law.justia.com/codes/georgia/2017/title-53/chapter-4/" TargetMode="External"/><Relationship Id="rId32" Type="http://schemas.openxmlformats.org/officeDocument/2006/relationships/hyperlink" Target="https://law.justia.com/codes/georgia/2017/title-53/chapter-12/article-3/" TargetMode="External"/><Relationship Id="rId9" Type="http://schemas.openxmlformats.org/officeDocument/2006/relationships/hyperlink" Target="https://eforms.com/power-of-attorney/ga/georgia-durable-power-of-attorney/" TargetMode="External"/><Relationship Id="rId6" Type="http://schemas.openxmlformats.org/officeDocument/2006/relationships/endnotes" Target="endnotes.xml"/><Relationship Id="rId7" Type="http://schemas.openxmlformats.org/officeDocument/2006/relationships/hyperlink" Target="https://eforms.com/power-of-attorney/ga/georgia-advanced-directive-for-health-care/" TargetMode="External"/><Relationship Id="rId8" Type="http://schemas.openxmlformats.org/officeDocument/2006/relationships/hyperlink" Target="https://law.justia.com/codes/georgia/2017/title-31/chapter-32/section-31-32-5/" TargetMode="External"/><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law.justia.com/codes/georgia/2017/title-10/chapter-6b/article-1/section-10-6b-5/" TargetMode="External"/><Relationship Id="rId11" Type="http://schemas.openxmlformats.org/officeDocument/2006/relationships/hyperlink" Target="https://law.justia.com/codes/georgia/2017/title-10/chapter-6b/article-2/section-10-6b-43/" TargetMode="External"/><Relationship Id="rId12" Type="http://schemas.openxmlformats.org/officeDocument/2006/relationships/hyperlink" Target="https://law.justia.com/codes/georgia/2017/title-10/chapter-6b/article-2/section-10-6b-44/" TargetMode="External"/><Relationship Id="rId13" Type="http://schemas.openxmlformats.org/officeDocument/2006/relationships/hyperlink" Target="https://law.justia.com/codes/georgia/2017/title-10/chapter-6b/article-2/section-10-6b-45/" TargetMode="External"/><Relationship Id="rId14" Type="http://schemas.openxmlformats.org/officeDocument/2006/relationships/hyperlink" Target="https://law.justia.com/codes/georgia/2017/title-10/chapter-6b/article-2/section-10-6b-46/" TargetMode="External"/><Relationship Id="rId15" Type="http://schemas.openxmlformats.org/officeDocument/2006/relationships/hyperlink" Target="https://law.justia.com/codes/georgia/2017/title-10/chapter-6b/article-2/section-10-6b-47/" TargetMode="External"/><Relationship Id="rId16" Type="http://schemas.openxmlformats.org/officeDocument/2006/relationships/hyperlink" Target="https://law.justia.com/codes/georgia/2017/title-10/chapter-6b/article-2/section-10-6b-48/" TargetMode="External"/><Relationship Id="rId17" Type="http://schemas.openxmlformats.org/officeDocument/2006/relationships/hyperlink" Target="https://law.justia.com/codes/georgia/2017/title-10/chapter-6b/article-2/section-10-6b-49/" TargetMode="External"/><Relationship Id="rId18" Type="http://schemas.openxmlformats.org/officeDocument/2006/relationships/hyperlink" Target="https://law.justia.com/codes/georgia/2017/title-10/chapter-6b/article-2/section-10-6b-50/" TargetMode="External"/><Relationship Id="rId19" Type="http://schemas.openxmlformats.org/officeDocument/2006/relationships/hyperlink" Target="https://law.justia.com/codes/georgia/2017/title-10/chapter-6b/article-2/section-10-6b-5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1325</Words>
  <Characters>7195</Characters>
  <Application>Microsoft Macintosh Word</Application>
  <DocSecurity>0</DocSecurity>
  <Lines>141</Lines>
  <Paragraphs>74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Georgia Estate Planning Checklist</vt:lpstr>
      <vt:lpstr>        Step 1 – Select a Health Care Agent</vt:lpstr>
      <vt:lpstr>        Step 2 – Select a Financial Agent</vt:lpstr>
      <vt:lpstr>        Step 3 – Prepare Estate Information</vt:lpstr>
      <vt:lpstr>        Step 4 – Identify the Beneficiaries</vt:lpstr>
      <vt:lpstr>        Step 5 – Create a Living Trust and/or Last Will and Testament</vt:lpstr>
      <vt:lpstr>        Step 6 – Store the Documents in a Safe Place</vt:lpstr>
      <vt:lpstr>Georgia Estate Planning Laws</vt:lpstr>
    </vt:vector>
  </TitlesOfParts>
  <Manager/>
  <Company/>
  <LinksUpToDate>false</LinksUpToDate>
  <CharactersWithSpaces>8446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Estate Planning Checklist</dc:title>
  <dc:subject/>
  <dc:creator>eForms</dc:creator>
  <cp:keywords/>
  <dc:description/>
  <cp:lastModifiedBy>Corbin Steele</cp:lastModifiedBy>
  <cp:revision>13</cp:revision>
  <dcterms:created xsi:type="dcterms:W3CDTF">2018-11-27T16:10:00Z</dcterms:created>
  <dcterms:modified xsi:type="dcterms:W3CDTF">2018-12-14T17:22:00Z</dcterms:modified>
  <cp:category/>
</cp:coreProperties>
</file>