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DED6B" w14:textId="1698B1B2" w:rsidR="00FF2F8B" w:rsidRDefault="0066561C">
      <w:pPr>
        <w:pStyle w:val="Heading1"/>
        <w:jc w:val="center"/>
        <w:rPr>
          <w:rFonts w:ascii="Arial" w:hAnsi="Arial" w:cs="Arial"/>
          <w:sz w:val="36"/>
          <w:szCs w:val="36"/>
        </w:rPr>
      </w:pPr>
      <w:r>
        <w:rPr>
          <w:rFonts w:ascii="Arial" w:hAnsi="Arial" w:cs="Arial"/>
          <w:sz w:val="36"/>
          <w:szCs w:val="36"/>
        </w:rPr>
        <w:t xml:space="preserve">ILLINOIS </w:t>
      </w:r>
      <w:r w:rsidR="00A9662C">
        <w:rPr>
          <w:rFonts w:ascii="Arial" w:hAnsi="Arial" w:cs="Arial"/>
          <w:sz w:val="36"/>
          <w:szCs w:val="36"/>
        </w:rPr>
        <w:t>ESTATE PLANNING CHECKLIST</w:t>
      </w:r>
    </w:p>
    <w:p w14:paraId="78F43F35" w14:textId="77777777" w:rsidR="00C4721A" w:rsidRDefault="00C4721A" w:rsidP="00C4721A">
      <w:pPr>
        <w:pStyle w:val="NormalWeb"/>
        <w:rPr>
          <w:rFonts w:ascii="Arial" w:hAnsi="Arial" w:cs="Arial"/>
          <w:sz w:val="27"/>
          <w:szCs w:val="27"/>
        </w:rPr>
      </w:pPr>
    </w:p>
    <w:p w14:paraId="33FEA662" w14:textId="77777777" w:rsidR="0066561C" w:rsidRPr="0066561C" w:rsidRDefault="0066561C" w:rsidP="0066561C">
      <w:pPr>
        <w:rPr>
          <w:rFonts w:ascii="Arial" w:eastAsia="Times New Roman" w:hAnsi="Arial" w:cs="Arial"/>
          <w:sz w:val="27"/>
          <w:szCs w:val="27"/>
        </w:rPr>
      </w:pPr>
      <w:r w:rsidRPr="0066561C">
        <w:rPr>
          <w:rFonts w:ascii="Arial" w:eastAsia="Times New Roman" w:hAnsi="Arial" w:cs="Arial"/>
          <w:sz w:val="27"/>
          <w:szCs w:val="27"/>
        </w:rPr>
        <w:t>These instructions can be followed by Illinois residents to make sure that they have all the legal instruments necessary to plan for their end-of-life medical treatment, as well as the distribution of their property when they pass away. (This guide merely relays information and should not be interpreted as legal advice.)</w:t>
      </w:r>
    </w:p>
    <w:p w14:paraId="7AC557D5" w14:textId="77777777" w:rsidR="0066561C" w:rsidRDefault="0066561C" w:rsidP="0066561C">
      <w:pPr>
        <w:rPr>
          <w:rFonts w:ascii="Arial" w:eastAsia="Times New Roman" w:hAnsi="Arial" w:cs="Arial"/>
          <w:b/>
          <w:bCs/>
          <w:sz w:val="32"/>
          <w:szCs w:val="32"/>
        </w:rPr>
      </w:pPr>
    </w:p>
    <w:p w14:paraId="4B41DE69" w14:textId="77777777" w:rsidR="0066561C" w:rsidRPr="0066561C" w:rsidRDefault="0066561C" w:rsidP="0066561C">
      <w:pPr>
        <w:rPr>
          <w:rFonts w:ascii="Arial" w:eastAsia="Times New Roman" w:hAnsi="Arial" w:cs="Arial"/>
          <w:b/>
          <w:bCs/>
          <w:sz w:val="32"/>
          <w:szCs w:val="32"/>
        </w:rPr>
      </w:pPr>
      <w:r w:rsidRPr="0066561C">
        <w:rPr>
          <w:rFonts w:ascii="Arial" w:eastAsia="Times New Roman" w:hAnsi="Arial" w:cs="Arial"/>
          <w:b/>
          <w:bCs/>
          <w:sz w:val="32"/>
          <w:szCs w:val="32"/>
        </w:rPr>
        <w:t>Step 1 - Select a Health Care Agent</w:t>
      </w:r>
    </w:p>
    <w:p w14:paraId="380389AC" w14:textId="77777777" w:rsidR="0066561C" w:rsidRPr="0066561C" w:rsidRDefault="0066561C" w:rsidP="0066561C">
      <w:pPr>
        <w:rPr>
          <w:rFonts w:ascii="Arial" w:eastAsia="Times New Roman" w:hAnsi="Arial" w:cs="Arial"/>
          <w:b/>
          <w:bCs/>
          <w:sz w:val="27"/>
          <w:szCs w:val="27"/>
        </w:rPr>
      </w:pPr>
    </w:p>
    <w:p w14:paraId="38FE2FB2" w14:textId="77777777" w:rsidR="0066561C" w:rsidRDefault="0066561C" w:rsidP="0066561C">
      <w:pPr>
        <w:rPr>
          <w:rFonts w:ascii="Arial" w:eastAsia="Times New Roman" w:hAnsi="Arial" w:cs="Arial"/>
          <w:sz w:val="27"/>
          <w:szCs w:val="27"/>
        </w:rPr>
      </w:pPr>
      <w:r w:rsidRPr="0066561C">
        <w:rPr>
          <w:rFonts w:ascii="Arial" w:eastAsia="Times New Roman" w:hAnsi="Arial" w:cs="Arial"/>
          <w:sz w:val="27"/>
          <w:szCs w:val="27"/>
        </w:rPr>
        <w:t xml:space="preserve">A </w:t>
      </w:r>
      <w:r w:rsidRPr="0066561C">
        <w:rPr>
          <w:rFonts w:ascii="Arial" w:eastAsia="Times New Roman" w:hAnsi="Arial" w:cs="Arial"/>
          <w:b/>
          <w:bCs/>
          <w:sz w:val="27"/>
          <w:szCs w:val="27"/>
        </w:rPr>
        <w:t>Health Care Agent </w:t>
      </w:r>
      <w:r w:rsidRPr="0066561C">
        <w:rPr>
          <w:rFonts w:ascii="Arial" w:eastAsia="Times New Roman" w:hAnsi="Arial" w:cs="Arial"/>
          <w:sz w:val="27"/>
          <w:szCs w:val="27"/>
        </w:rPr>
        <w:t>is an individual who is given the authority to make medical decisions on behalf of the principal (the patient) when the principal is incapable of making those decisions themselves due to some form of incapacitation. Any moment, some kind of medical emergency could impact a family member and render them unable to decide what types of medical treatment we will receive. By assigning a Health Care Agent, individuals can relay their wishes regarding end-of-life treatment to the assigned agent.</w:t>
      </w:r>
    </w:p>
    <w:p w14:paraId="597B558D" w14:textId="77777777" w:rsidR="000961C7" w:rsidRPr="0066561C" w:rsidRDefault="000961C7" w:rsidP="0066561C">
      <w:pPr>
        <w:rPr>
          <w:rFonts w:ascii="Arial" w:eastAsia="Times New Roman" w:hAnsi="Arial" w:cs="Arial"/>
          <w:sz w:val="27"/>
          <w:szCs w:val="27"/>
        </w:rPr>
      </w:pPr>
    </w:p>
    <w:p w14:paraId="0A78996F" w14:textId="77777777" w:rsidR="0066561C" w:rsidRPr="0066561C" w:rsidRDefault="0066561C" w:rsidP="0066561C">
      <w:pPr>
        <w:rPr>
          <w:rFonts w:ascii="Arial" w:eastAsia="Times New Roman" w:hAnsi="Arial" w:cs="Arial"/>
          <w:sz w:val="27"/>
          <w:szCs w:val="27"/>
        </w:rPr>
      </w:pPr>
      <w:hyperlink r:id="rId7" w:history="1">
        <w:r w:rsidRPr="0066561C">
          <w:rPr>
            <w:rStyle w:val="Hyperlink"/>
            <w:rFonts w:ascii="Arial" w:eastAsia="Times New Roman" w:hAnsi="Arial" w:cs="Arial"/>
            <w:sz w:val="27"/>
            <w:szCs w:val="27"/>
          </w:rPr>
          <w:t>Health Care Power of Attorney Form</w:t>
        </w:r>
      </w:hyperlink>
      <w:r w:rsidRPr="0066561C">
        <w:rPr>
          <w:rFonts w:ascii="Arial" w:eastAsia="Times New Roman" w:hAnsi="Arial" w:cs="Arial"/>
          <w:sz w:val="27"/>
          <w:szCs w:val="27"/>
        </w:rPr>
        <w:t xml:space="preserve"> - Allows an individual to assign a representative who will be authorized to make medical decisions on their behalf if they are mentally incapacitated.</w:t>
      </w:r>
    </w:p>
    <w:p w14:paraId="4FA2DBAA" w14:textId="77777777" w:rsidR="0066561C" w:rsidRDefault="0066561C" w:rsidP="0066561C">
      <w:pPr>
        <w:numPr>
          <w:ilvl w:val="0"/>
          <w:numId w:val="6"/>
        </w:numPr>
        <w:rPr>
          <w:rFonts w:ascii="Arial" w:eastAsia="Times New Roman" w:hAnsi="Arial" w:cs="Arial"/>
          <w:sz w:val="27"/>
          <w:szCs w:val="27"/>
        </w:rPr>
      </w:pPr>
      <w:r w:rsidRPr="0066561C">
        <w:rPr>
          <w:rFonts w:ascii="Arial" w:eastAsia="Times New Roman" w:hAnsi="Arial" w:cs="Arial"/>
          <w:b/>
          <w:bCs/>
          <w:sz w:val="27"/>
          <w:szCs w:val="27"/>
        </w:rPr>
        <w:t>Signing Requirements</w:t>
      </w:r>
      <w:r w:rsidRPr="0066561C">
        <w:rPr>
          <w:rFonts w:ascii="Arial" w:eastAsia="Times New Roman" w:hAnsi="Arial" w:cs="Arial"/>
          <w:sz w:val="27"/>
          <w:szCs w:val="27"/>
        </w:rPr>
        <w:t> (</w:t>
      </w:r>
      <w:hyperlink r:id="rId8" w:tgtFrame="_blank" w:history="1">
        <w:r w:rsidRPr="0066561C">
          <w:rPr>
            <w:rStyle w:val="Hyperlink"/>
            <w:rFonts w:ascii="Arial" w:eastAsia="Times New Roman" w:hAnsi="Arial" w:cs="Arial"/>
            <w:sz w:val="27"/>
            <w:szCs w:val="27"/>
          </w:rPr>
          <w:t>§ 755 ILCS 45/4-10</w:t>
        </w:r>
      </w:hyperlink>
      <w:r w:rsidRPr="0066561C">
        <w:rPr>
          <w:rFonts w:ascii="Arial" w:eastAsia="Times New Roman" w:hAnsi="Arial" w:cs="Arial"/>
          <w:sz w:val="27"/>
          <w:szCs w:val="27"/>
        </w:rPr>
        <w:t>) - The form must be signed by the principal and one (1) witness.</w:t>
      </w:r>
    </w:p>
    <w:p w14:paraId="1840BBE1" w14:textId="77777777" w:rsidR="0066561C" w:rsidRPr="0066561C" w:rsidRDefault="0066561C" w:rsidP="0066561C">
      <w:pPr>
        <w:rPr>
          <w:rFonts w:ascii="Arial" w:eastAsia="Times New Roman" w:hAnsi="Arial" w:cs="Arial"/>
          <w:sz w:val="27"/>
          <w:szCs w:val="27"/>
        </w:rPr>
      </w:pPr>
    </w:p>
    <w:p w14:paraId="35D1E645" w14:textId="77777777" w:rsidR="0066561C" w:rsidRPr="0066561C" w:rsidRDefault="0066561C" w:rsidP="0066561C">
      <w:pPr>
        <w:rPr>
          <w:rFonts w:ascii="Arial" w:eastAsia="Times New Roman" w:hAnsi="Arial" w:cs="Arial"/>
          <w:b/>
          <w:bCs/>
          <w:sz w:val="32"/>
          <w:szCs w:val="32"/>
        </w:rPr>
      </w:pPr>
      <w:r w:rsidRPr="0066561C">
        <w:rPr>
          <w:rFonts w:ascii="Arial" w:eastAsia="Times New Roman" w:hAnsi="Arial" w:cs="Arial"/>
          <w:b/>
          <w:bCs/>
          <w:sz w:val="32"/>
          <w:szCs w:val="32"/>
        </w:rPr>
        <w:t>Step 2 - Select a Financial Agent</w:t>
      </w:r>
    </w:p>
    <w:p w14:paraId="7B1964E6" w14:textId="77777777" w:rsidR="0066561C" w:rsidRPr="0066561C" w:rsidRDefault="0066561C" w:rsidP="0066561C">
      <w:pPr>
        <w:rPr>
          <w:rFonts w:ascii="Arial" w:eastAsia="Times New Roman" w:hAnsi="Arial" w:cs="Arial"/>
          <w:b/>
          <w:bCs/>
          <w:sz w:val="27"/>
          <w:szCs w:val="27"/>
        </w:rPr>
      </w:pPr>
    </w:p>
    <w:p w14:paraId="507BB2EB" w14:textId="77777777" w:rsidR="0066561C" w:rsidRDefault="0066561C" w:rsidP="0066561C">
      <w:pPr>
        <w:rPr>
          <w:rFonts w:ascii="Arial" w:eastAsia="Times New Roman" w:hAnsi="Arial" w:cs="Arial"/>
          <w:sz w:val="27"/>
          <w:szCs w:val="27"/>
        </w:rPr>
      </w:pPr>
      <w:r w:rsidRPr="0066561C">
        <w:rPr>
          <w:rFonts w:ascii="Arial" w:eastAsia="Times New Roman" w:hAnsi="Arial" w:cs="Arial"/>
          <w:sz w:val="27"/>
          <w:szCs w:val="27"/>
        </w:rPr>
        <w:t xml:space="preserve">A </w:t>
      </w:r>
      <w:r w:rsidRPr="0066561C">
        <w:rPr>
          <w:rFonts w:ascii="Arial" w:eastAsia="Times New Roman" w:hAnsi="Arial" w:cs="Arial"/>
          <w:b/>
          <w:bCs/>
          <w:sz w:val="27"/>
          <w:szCs w:val="27"/>
        </w:rPr>
        <w:t>Financial Agent </w:t>
      </w:r>
      <w:r w:rsidRPr="0066561C">
        <w:rPr>
          <w:rFonts w:ascii="Arial" w:eastAsia="Times New Roman" w:hAnsi="Arial" w:cs="Arial"/>
          <w:sz w:val="27"/>
          <w:szCs w:val="27"/>
        </w:rPr>
        <w:t>is authorized by the pPrincipal to make financial decisions in the event that they are incapacitated due to an accident or medical event. Making this preparation helps to ensure that the principal's assets and finances will be managed in line with their wishes and best interests. For example, a Financial Agent can authorize the financing of the best available health care for the principal if the principal is incapacitated.</w:t>
      </w:r>
    </w:p>
    <w:p w14:paraId="083C0FFC" w14:textId="77777777" w:rsidR="0066561C" w:rsidRPr="0066561C" w:rsidRDefault="0066561C" w:rsidP="0066561C">
      <w:pPr>
        <w:rPr>
          <w:rFonts w:ascii="Arial" w:eastAsia="Times New Roman" w:hAnsi="Arial" w:cs="Arial"/>
          <w:sz w:val="27"/>
          <w:szCs w:val="27"/>
        </w:rPr>
      </w:pPr>
    </w:p>
    <w:p w14:paraId="033DF62A" w14:textId="5B976144" w:rsidR="0066561C" w:rsidRPr="0066561C" w:rsidRDefault="0066561C" w:rsidP="0066561C">
      <w:pPr>
        <w:rPr>
          <w:rFonts w:ascii="Arial" w:eastAsia="Times New Roman" w:hAnsi="Arial" w:cs="Arial"/>
          <w:sz w:val="27"/>
          <w:szCs w:val="27"/>
        </w:rPr>
      </w:pPr>
      <w:hyperlink r:id="rId9" w:history="1">
        <w:r w:rsidRPr="0066561C">
          <w:rPr>
            <w:rStyle w:val="Hyperlink"/>
            <w:rFonts w:ascii="Arial" w:eastAsia="Times New Roman" w:hAnsi="Arial" w:cs="Arial"/>
            <w:sz w:val="27"/>
            <w:szCs w:val="27"/>
          </w:rPr>
          <w:t>Durable (Financial) Power of Attorney Form</w:t>
        </w:r>
      </w:hyperlink>
      <w:r w:rsidRPr="0066561C">
        <w:rPr>
          <w:rFonts w:ascii="Arial" w:eastAsia="Times New Roman" w:hAnsi="Arial" w:cs="Arial"/>
          <w:sz w:val="27"/>
          <w:szCs w:val="27"/>
        </w:rPr>
        <w:t xml:space="preserve"> - This form is used to authorize an individual to represent the principal (the person for whom the document is created for) in making financial decisions in the event that the principal is unable to make such decisions for themselves.</w:t>
      </w:r>
    </w:p>
    <w:p w14:paraId="6E048A86" w14:textId="77777777" w:rsidR="0066561C" w:rsidRDefault="0066561C" w:rsidP="0066561C">
      <w:pPr>
        <w:numPr>
          <w:ilvl w:val="0"/>
          <w:numId w:val="7"/>
        </w:numPr>
        <w:rPr>
          <w:rFonts w:ascii="Arial" w:eastAsia="Times New Roman" w:hAnsi="Arial" w:cs="Arial"/>
          <w:sz w:val="27"/>
          <w:szCs w:val="27"/>
        </w:rPr>
      </w:pPr>
      <w:r w:rsidRPr="0066561C">
        <w:rPr>
          <w:rFonts w:ascii="Arial" w:eastAsia="Times New Roman" w:hAnsi="Arial" w:cs="Arial"/>
          <w:b/>
          <w:bCs/>
          <w:sz w:val="27"/>
          <w:szCs w:val="27"/>
        </w:rPr>
        <w:t>Signing Requirements</w:t>
      </w:r>
      <w:r w:rsidRPr="0066561C">
        <w:rPr>
          <w:rFonts w:ascii="Arial" w:eastAsia="Times New Roman" w:hAnsi="Arial" w:cs="Arial"/>
          <w:sz w:val="27"/>
          <w:szCs w:val="27"/>
        </w:rPr>
        <w:t xml:space="preserve"> (</w:t>
      </w:r>
      <w:hyperlink r:id="rId10" w:tgtFrame="_blank" w:history="1">
        <w:r w:rsidRPr="0066561C">
          <w:rPr>
            <w:rStyle w:val="Hyperlink"/>
            <w:rFonts w:ascii="Arial" w:eastAsia="Times New Roman" w:hAnsi="Arial" w:cs="Arial"/>
            <w:sz w:val="27"/>
            <w:szCs w:val="27"/>
          </w:rPr>
          <w:t>§ 755 ILCS 45/ Art. II</w:t>
        </w:r>
      </w:hyperlink>
      <w:r w:rsidRPr="0066561C">
        <w:rPr>
          <w:rFonts w:ascii="Arial" w:eastAsia="Times New Roman" w:hAnsi="Arial" w:cs="Arial"/>
          <w:sz w:val="27"/>
          <w:szCs w:val="27"/>
        </w:rPr>
        <w:t xml:space="preserve">) -  The principal and one (1) witness are required to sign a Power of Attorney form. The Financial </w:t>
      </w:r>
      <w:r w:rsidRPr="0066561C">
        <w:rPr>
          <w:rFonts w:ascii="Arial" w:eastAsia="Times New Roman" w:hAnsi="Arial" w:cs="Arial"/>
          <w:sz w:val="27"/>
          <w:szCs w:val="27"/>
        </w:rPr>
        <w:lastRenderedPageBreak/>
        <w:t>Agent can also be asked to sign a Certification and Acceptance of Authority at the principal's behest.</w:t>
      </w:r>
    </w:p>
    <w:p w14:paraId="3AF5F16F" w14:textId="77777777" w:rsidR="0066561C" w:rsidRPr="0066561C" w:rsidRDefault="0066561C" w:rsidP="0066561C">
      <w:pPr>
        <w:rPr>
          <w:rFonts w:ascii="Arial" w:eastAsia="Times New Roman" w:hAnsi="Arial" w:cs="Arial"/>
          <w:sz w:val="27"/>
          <w:szCs w:val="27"/>
        </w:rPr>
      </w:pPr>
    </w:p>
    <w:p w14:paraId="3F4315B0" w14:textId="77777777" w:rsidR="0066561C" w:rsidRPr="0066561C" w:rsidRDefault="0066561C" w:rsidP="0066561C">
      <w:pPr>
        <w:rPr>
          <w:rFonts w:ascii="Arial" w:eastAsia="Times New Roman" w:hAnsi="Arial" w:cs="Arial"/>
          <w:sz w:val="27"/>
          <w:szCs w:val="27"/>
        </w:rPr>
      </w:pPr>
      <w:r w:rsidRPr="0066561C">
        <w:rPr>
          <w:rFonts w:ascii="Arial" w:eastAsia="Times New Roman" w:hAnsi="Arial" w:cs="Arial"/>
          <w:b/>
          <w:bCs/>
          <w:sz w:val="27"/>
          <w:szCs w:val="27"/>
        </w:rPr>
        <w:t>Financial Powers Allowed:</w:t>
      </w:r>
    </w:p>
    <w:p w14:paraId="0BA3E711" w14:textId="77777777" w:rsidR="0066561C" w:rsidRPr="0066561C" w:rsidRDefault="0066561C" w:rsidP="0066561C">
      <w:pPr>
        <w:numPr>
          <w:ilvl w:val="0"/>
          <w:numId w:val="8"/>
        </w:numPr>
        <w:rPr>
          <w:rFonts w:ascii="Arial" w:eastAsia="Times New Roman" w:hAnsi="Arial" w:cs="Arial"/>
          <w:sz w:val="27"/>
          <w:szCs w:val="27"/>
        </w:rPr>
      </w:pPr>
      <w:r w:rsidRPr="0066561C">
        <w:rPr>
          <w:rFonts w:ascii="Arial" w:eastAsia="Times New Roman" w:hAnsi="Arial" w:cs="Arial"/>
          <w:sz w:val="27"/>
          <w:szCs w:val="27"/>
        </w:rPr>
        <w:t>Real estate transaction;</w:t>
      </w:r>
    </w:p>
    <w:p w14:paraId="29E440C2" w14:textId="77777777" w:rsidR="0066561C" w:rsidRPr="0066561C" w:rsidRDefault="0066561C" w:rsidP="0066561C">
      <w:pPr>
        <w:numPr>
          <w:ilvl w:val="0"/>
          <w:numId w:val="8"/>
        </w:numPr>
        <w:rPr>
          <w:rFonts w:ascii="Arial" w:eastAsia="Times New Roman" w:hAnsi="Arial" w:cs="Arial"/>
          <w:sz w:val="27"/>
          <w:szCs w:val="27"/>
        </w:rPr>
      </w:pPr>
      <w:r w:rsidRPr="0066561C">
        <w:rPr>
          <w:rFonts w:ascii="Arial" w:eastAsia="Times New Roman" w:hAnsi="Arial" w:cs="Arial"/>
          <w:sz w:val="27"/>
          <w:szCs w:val="27"/>
        </w:rPr>
        <w:t>Transactions involving tangible personal property, chattels, and goods;</w:t>
      </w:r>
    </w:p>
    <w:p w14:paraId="34951431" w14:textId="77777777" w:rsidR="0066561C" w:rsidRPr="0066561C" w:rsidRDefault="0066561C" w:rsidP="0066561C">
      <w:pPr>
        <w:numPr>
          <w:ilvl w:val="0"/>
          <w:numId w:val="8"/>
        </w:numPr>
        <w:rPr>
          <w:rFonts w:ascii="Arial" w:eastAsia="Times New Roman" w:hAnsi="Arial" w:cs="Arial"/>
          <w:sz w:val="27"/>
          <w:szCs w:val="27"/>
        </w:rPr>
      </w:pPr>
      <w:r w:rsidRPr="0066561C">
        <w:rPr>
          <w:rFonts w:ascii="Arial" w:eastAsia="Times New Roman" w:hAnsi="Arial" w:cs="Arial"/>
          <w:sz w:val="27"/>
          <w:szCs w:val="27"/>
        </w:rPr>
        <w:t>Bonds, shares, and commodities transactions;</w:t>
      </w:r>
    </w:p>
    <w:p w14:paraId="56345ABD" w14:textId="77777777" w:rsidR="0066561C" w:rsidRPr="0066561C" w:rsidRDefault="0066561C" w:rsidP="0066561C">
      <w:pPr>
        <w:numPr>
          <w:ilvl w:val="0"/>
          <w:numId w:val="8"/>
        </w:numPr>
        <w:rPr>
          <w:rFonts w:ascii="Arial" w:eastAsia="Times New Roman" w:hAnsi="Arial" w:cs="Arial"/>
          <w:sz w:val="27"/>
          <w:szCs w:val="27"/>
        </w:rPr>
      </w:pPr>
      <w:r w:rsidRPr="0066561C">
        <w:rPr>
          <w:rFonts w:ascii="Arial" w:eastAsia="Times New Roman" w:hAnsi="Arial" w:cs="Arial"/>
          <w:sz w:val="27"/>
          <w:szCs w:val="27"/>
        </w:rPr>
        <w:t>Banking transactions;</w:t>
      </w:r>
    </w:p>
    <w:p w14:paraId="3189F4AE" w14:textId="77777777" w:rsidR="0066561C" w:rsidRPr="0066561C" w:rsidRDefault="0066561C" w:rsidP="0066561C">
      <w:pPr>
        <w:numPr>
          <w:ilvl w:val="0"/>
          <w:numId w:val="8"/>
        </w:numPr>
        <w:rPr>
          <w:rFonts w:ascii="Arial" w:eastAsia="Times New Roman" w:hAnsi="Arial" w:cs="Arial"/>
          <w:sz w:val="27"/>
          <w:szCs w:val="27"/>
        </w:rPr>
      </w:pPr>
      <w:r w:rsidRPr="0066561C">
        <w:rPr>
          <w:rFonts w:ascii="Arial" w:eastAsia="Times New Roman" w:hAnsi="Arial" w:cs="Arial"/>
          <w:sz w:val="27"/>
          <w:szCs w:val="27"/>
        </w:rPr>
        <w:t>Business operating transactions;</w:t>
      </w:r>
    </w:p>
    <w:p w14:paraId="147C7FE5" w14:textId="77777777" w:rsidR="0066561C" w:rsidRPr="0066561C" w:rsidRDefault="0066561C" w:rsidP="0066561C">
      <w:pPr>
        <w:numPr>
          <w:ilvl w:val="0"/>
          <w:numId w:val="8"/>
        </w:numPr>
        <w:rPr>
          <w:rFonts w:ascii="Arial" w:eastAsia="Times New Roman" w:hAnsi="Arial" w:cs="Arial"/>
          <w:sz w:val="27"/>
          <w:szCs w:val="27"/>
        </w:rPr>
      </w:pPr>
      <w:r w:rsidRPr="0066561C">
        <w:rPr>
          <w:rFonts w:ascii="Arial" w:eastAsia="Times New Roman" w:hAnsi="Arial" w:cs="Arial"/>
          <w:sz w:val="27"/>
          <w:szCs w:val="27"/>
        </w:rPr>
        <w:t>Insurance transactions;</w:t>
      </w:r>
    </w:p>
    <w:p w14:paraId="07432F04" w14:textId="77777777" w:rsidR="0066561C" w:rsidRPr="0066561C" w:rsidRDefault="0066561C" w:rsidP="0066561C">
      <w:pPr>
        <w:numPr>
          <w:ilvl w:val="0"/>
          <w:numId w:val="8"/>
        </w:numPr>
        <w:rPr>
          <w:rFonts w:ascii="Arial" w:eastAsia="Times New Roman" w:hAnsi="Arial" w:cs="Arial"/>
          <w:sz w:val="27"/>
          <w:szCs w:val="27"/>
        </w:rPr>
      </w:pPr>
      <w:r w:rsidRPr="0066561C">
        <w:rPr>
          <w:rFonts w:ascii="Arial" w:eastAsia="Times New Roman" w:hAnsi="Arial" w:cs="Arial"/>
          <w:sz w:val="27"/>
          <w:szCs w:val="27"/>
        </w:rPr>
        <w:t>Estate transactions;</w:t>
      </w:r>
    </w:p>
    <w:p w14:paraId="376F501F" w14:textId="77777777" w:rsidR="0066561C" w:rsidRPr="0066561C" w:rsidRDefault="0066561C" w:rsidP="0066561C">
      <w:pPr>
        <w:numPr>
          <w:ilvl w:val="0"/>
          <w:numId w:val="8"/>
        </w:numPr>
        <w:rPr>
          <w:rFonts w:ascii="Arial" w:eastAsia="Times New Roman" w:hAnsi="Arial" w:cs="Arial"/>
          <w:sz w:val="27"/>
          <w:szCs w:val="27"/>
        </w:rPr>
      </w:pPr>
      <w:r w:rsidRPr="0066561C">
        <w:rPr>
          <w:rFonts w:ascii="Arial" w:eastAsia="Times New Roman" w:hAnsi="Arial" w:cs="Arial"/>
          <w:sz w:val="27"/>
          <w:szCs w:val="27"/>
        </w:rPr>
        <w:t>Gift transactions;</w:t>
      </w:r>
    </w:p>
    <w:p w14:paraId="44617A6C" w14:textId="77777777" w:rsidR="0066561C" w:rsidRPr="0066561C" w:rsidRDefault="0066561C" w:rsidP="0066561C">
      <w:pPr>
        <w:numPr>
          <w:ilvl w:val="0"/>
          <w:numId w:val="8"/>
        </w:numPr>
        <w:rPr>
          <w:rFonts w:ascii="Arial" w:eastAsia="Times New Roman" w:hAnsi="Arial" w:cs="Arial"/>
          <w:sz w:val="27"/>
          <w:szCs w:val="27"/>
        </w:rPr>
      </w:pPr>
      <w:r w:rsidRPr="0066561C">
        <w:rPr>
          <w:rFonts w:ascii="Arial" w:eastAsia="Times New Roman" w:hAnsi="Arial" w:cs="Arial"/>
          <w:sz w:val="27"/>
          <w:szCs w:val="27"/>
        </w:rPr>
        <w:t>Claims and litigation;</w:t>
      </w:r>
    </w:p>
    <w:p w14:paraId="6AA24DCF" w14:textId="77777777" w:rsidR="0066561C" w:rsidRPr="0066561C" w:rsidRDefault="0066561C" w:rsidP="0066561C">
      <w:pPr>
        <w:numPr>
          <w:ilvl w:val="0"/>
          <w:numId w:val="8"/>
        </w:numPr>
        <w:rPr>
          <w:rFonts w:ascii="Arial" w:eastAsia="Times New Roman" w:hAnsi="Arial" w:cs="Arial"/>
          <w:sz w:val="27"/>
          <w:szCs w:val="27"/>
        </w:rPr>
      </w:pPr>
      <w:r w:rsidRPr="0066561C">
        <w:rPr>
          <w:rFonts w:ascii="Arial" w:eastAsia="Times New Roman" w:hAnsi="Arial" w:cs="Arial"/>
          <w:sz w:val="27"/>
          <w:szCs w:val="27"/>
        </w:rPr>
        <w:t>Personal relationships and affairs;</w:t>
      </w:r>
    </w:p>
    <w:p w14:paraId="6F8FF076" w14:textId="77777777" w:rsidR="0066561C" w:rsidRPr="0066561C" w:rsidRDefault="0066561C" w:rsidP="0066561C">
      <w:pPr>
        <w:numPr>
          <w:ilvl w:val="0"/>
          <w:numId w:val="8"/>
        </w:numPr>
        <w:rPr>
          <w:rFonts w:ascii="Arial" w:eastAsia="Times New Roman" w:hAnsi="Arial" w:cs="Arial"/>
          <w:sz w:val="27"/>
          <w:szCs w:val="27"/>
        </w:rPr>
      </w:pPr>
      <w:r w:rsidRPr="0066561C">
        <w:rPr>
          <w:rFonts w:ascii="Arial" w:eastAsia="Times New Roman" w:hAnsi="Arial" w:cs="Arial"/>
          <w:sz w:val="27"/>
          <w:szCs w:val="27"/>
        </w:rPr>
        <w:t>Benefits from government programs and military service;</w:t>
      </w:r>
    </w:p>
    <w:p w14:paraId="0008DF26" w14:textId="77777777" w:rsidR="0066561C" w:rsidRPr="0066561C" w:rsidRDefault="0066561C" w:rsidP="0066561C">
      <w:pPr>
        <w:numPr>
          <w:ilvl w:val="0"/>
          <w:numId w:val="8"/>
        </w:numPr>
        <w:rPr>
          <w:rFonts w:ascii="Arial" w:eastAsia="Times New Roman" w:hAnsi="Arial" w:cs="Arial"/>
          <w:sz w:val="27"/>
          <w:szCs w:val="27"/>
        </w:rPr>
      </w:pPr>
      <w:r w:rsidRPr="0066561C">
        <w:rPr>
          <w:rFonts w:ascii="Arial" w:eastAsia="Times New Roman" w:hAnsi="Arial" w:cs="Arial"/>
          <w:sz w:val="27"/>
          <w:szCs w:val="27"/>
        </w:rPr>
        <w:t>Records, reports, and statements;</w:t>
      </w:r>
    </w:p>
    <w:p w14:paraId="6F656714" w14:textId="77777777" w:rsidR="0066561C" w:rsidRPr="0066561C" w:rsidRDefault="0066561C" w:rsidP="0066561C">
      <w:pPr>
        <w:numPr>
          <w:ilvl w:val="0"/>
          <w:numId w:val="8"/>
        </w:numPr>
        <w:rPr>
          <w:rFonts w:ascii="Arial" w:eastAsia="Times New Roman" w:hAnsi="Arial" w:cs="Arial"/>
          <w:sz w:val="27"/>
          <w:szCs w:val="27"/>
        </w:rPr>
      </w:pPr>
      <w:r w:rsidRPr="0066561C">
        <w:rPr>
          <w:rFonts w:ascii="Arial" w:eastAsia="Times New Roman" w:hAnsi="Arial" w:cs="Arial"/>
          <w:sz w:val="27"/>
          <w:szCs w:val="27"/>
        </w:rPr>
        <w:t>Delegation;</w:t>
      </w:r>
    </w:p>
    <w:p w14:paraId="203065E7" w14:textId="77777777" w:rsidR="0066561C" w:rsidRPr="0066561C" w:rsidRDefault="0066561C" w:rsidP="0066561C">
      <w:pPr>
        <w:numPr>
          <w:ilvl w:val="0"/>
          <w:numId w:val="8"/>
        </w:numPr>
        <w:rPr>
          <w:rFonts w:ascii="Arial" w:eastAsia="Times New Roman" w:hAnsi="Arial" w:cs="Arial"/>
          <w:sz w:val="27"/>
          <w:szCs w:val="27"/>
        </w:rPr>
      </w:pPr>
      <w:r w:rsidRPr="0066561C">
        <w:rPr>
          <w:rFonts w:ascii="Arial" w:eastAsia="Times New Roman" w:hAnsi="Arial" w:cs="Arial"/>
          <w:sz w:val="27"/>
          <w:szCs w:val="27"/>
        </w:rPr>
        <w:t>Voter registration and absentee ballot requests; and</w:t>
      </w:r>
    </w:p>
    <w:p w14:paraId="7BC204F0" w14:textId="77777777" w:rsidR="0066561C" w:rsidRDefault="0066561C" w:rsidP="0066561C">
      <w:pPr>
        <w:numPr>
          <w:ilvl w:val="0"/>
          <w:numId w:val="8"/>
        </w:numPr>
        <w:rPr>
          <w:rFonts w:ascii="Arial" w:eastAsia="Times New Roman" w:hAnsi="Arial" w:cs="Arial"/>
          <w:sz w:val="27"/>
          <w:szCs w:val="27"/>
        </w:rPr>
      </w:pPr>
      <w:r w:rsidRPr="0066561C">
        <w:rPr>
          <w:rFonts w:ascii="Arial" w:eastAsia="Times New Roman" w:hAnsi="Arial" w:cs="Arial"/>
          <w:sz w:val="27"/>
          <w:szCs w:val="27"/>
        </w:rPr>
        <w:t>and other requests as allowed within the State by the Principal.</w:t>
      </w:r>
    </w:p>
    <w:p w14:paraId="40CE072C" w14:textId="77777777" w:rsidR="0066561C" w:rsidRPr="0066561C" w:rsidRDefault="0066561C" w:rsidP="0066561C">
      <w:pPr>
        <w:rPr>
          <w:rFonts w:ascii="Arial" w:eastAsia="Times New Roman" w:hAnsi="Arial" w:cs="Arial"/>
          <w:sz w:val="27"/>
          <w:szCs w:val="27"/>
        </w:rPr>
      </w:pPr>
    </w:p>
    <w:p w14:paraId="5D4469F7" w14:textId="77777777" w:rsidR="0066561C" w:rsidRPr="0066561C" w:rsidRDefault="0066561C" w:rsidP="0066561C">
      <w:pPr>
        <w:rPr>
          <w:rFonts w:ascii="Arial" w:eastAsia="Times New Roman" w:hAnsi="Arial" w:cs="Arial"/>
          <w:b/>
          <w:bCs/>
          <w:sz w:val="32"/>
          <w:szCs w:val="32"/>
        </w:rPr>
      </w:pPr>
      <w:r w:rsidRPr="0066561C">
        <w:rPr>
          <w:rFonts w:ascii="Arial" w:eastAsia="Times New Roman" w:hAnsi="Arial" w:cs="Arial"/>
          <w:b/>
          <w:bCs/>
          <w:sz w:val="32"/>
          <w:szCs w:val="32"/>
        </w:rPr>
        <w:t>Step 3 - Make a List of All Estate Items</w:t>
      </w:r>
    </w:p>
    <w:p w14:paraId="64AC4B34" w14:textId="77777777" w:rsidR="0066561C" w:rsidRPr="0066561C" w:rsidRDefault="0066561C" w:rsidP="0066561C">
      <w:pPr>
        <w:rPr>
          <w:rFonts w:ascii="Arial" w:eastAsia="Times New Roman" w:hAnsi="Arial" w:cs="Arial"/>
          <w:b/>
          <w:bCs/>
          <w:sz w:val="27"/>
          <w:szCs w:val="27"/>
        </w:rPr>
      </w:pPr>
    </w:p>
    <w:p w14:paraId="24A20F76" w14:textId="77777777" w:rsidR="0066561C" w:rsidRDefault="0066561C" w:rsidP="0066561C">
      <w:pPr>
        <w:rPr>
          <w:rFonts w:ascii="Arial" w:eastAsia="Times New Roman" w:hAnsi="Arial" w:cs="Arial"/>
          <w:sz w:val="27"/>
          <w:szCs w:val="27"/>
        </w:rPr>
      </w:pPr>
      <w:r w:rsidRPr="0066561C">
        <w:rPr>
          <w:rFonts w:ascii="Arial" w:eastAsia="Times New Roman" w:hAnsi="Arial" w:cs="Arial"/>
          <w:sz w:val="27"/>
          <w:szCs w:val="27"/>
        </w:rPr>
        <w:t>After assigning a Health Care Agent and a Financial Agent, the individual planning the distribution of their estate should make a list of all their assets (the </w:t>
      </w:r>
      <w:hyperlink r:id="rId11" w:history="1">
        <w:r w:rsidRPr="0066561C">
          <w:rPr>
            <w:rStyle w:val="Hyperlink"/>
            <w:rFonts w:ascii="Arial" w:eastAsia="Times New Roman" w:hAnsi="Arial" w:cs="Arial"/>
            <w:sz w:val="27"/>
            <w:szCs w:val="27"/>
          </w:rPr>
          <w:t>Current Assets List</w:t>
        </w:r>
      </w:hyperlink>
      <w:r w:rsidRPr="0066561C">
        <w:rPr>
          <w:rFonts w:ascii="Arial" w:eastAsia="Times New Roman" w:hAnsi="Arial" w:cs="Arial"/>
          <w:sz w:val="27"/>
          <w:szCs w:val="27"/>
        </w:rPr>
        <w:t> can be used to accomplish this). Creating a complete list of the individual's estate will help to determine what needs to be distributed and to whom.</w:t>
      </w:r>
    </w:p>
    <w:p w14:paraId="558B864E" w14:textId="77777777" w:rsidR="0066561C" w:rsidRPr="0066561C" w:rsidRDefault="0066561C" w:rsidP="0066561C">
      <w:pPr>
        <w:rPr>
          <w:rFonts w:ascii="Arial" w:eastAsia="Times New Roman" w:hAnsi="Arial" w:cs="Arial"/>
          <w:sz w:val="27"/>
          <w:szCs w:val="27"/>
        </w:rPr>
      </w:pPr>
    </w:p>
    <w:p w14:paraId="7837D677" w14:textId="77777777" w:rsidR="0066561C" w:rsidRPr="0066561C" w:rsidRDefault="0066561C" w:rsidP="0066561C">
      <w:pPr>
        <w:rPr>
          <w:rFonts w:ascii="Arial" w:eastAsia="Times New Roman" w:hAnsi="Arial" w:cs="Arial"/>
          <w:b/>
          <w:bCs/>
          <w:sz w:val="32"/>
          <w:szCs w:val="32"/>
        </w:rPr>
      </w:pPr>
      <w:r w:rsidRPr="0066561C">
        <w:rPr>
          <w:rFonts w:ascii="Arial" w:eastAsia="Times New Roman" w:hAnsi="Arial" w:cs="Arial"/>
          <w:b/>
          <w:bCs/>
          <w:sz w:val="32"/>
          <w:szCs w:val="32"/>
        </w:rPr>
        <w:t>Step 4 - Determine the Beneficiaries</w:t>
      </w:r>
    </w:p>
    <w:p w14:paraId="5C2D6BC0" w14:textId="77777777" w:rsidR="0066561C" w:rsidRPr="0066561C" w:rsidRDefault="0066561C" w:rsidP="0066561C">
      <w:pPr>
        <w:rPr>
          <w:rFonts w:ascii="Arial" w:eastAsia="Times New Roman" w:hAnsi="Arial" w:cs="Arial"/>
          <w:b/>
          <w:bCs/>
          <w:sz w:val="27"/>
          <w:szCs w:val="27"/>
        </w:rPr>
      </w:pPr>
    </w:p>
    <w:p w14:paraId="112B80B4" w14:textId="77777777" w:rsidR="0066561C" w:rsidRDefault="0066561C" w:rsidP="0066561C">
      <w:pPr>
        <w:rPr>
          <w:rFonts w:ascii="Arial" w:eastAsia="Times New Roman" w:hAnsi="Arial" w:cs="Arial"/>
          <w:sz w:val="27"/>
          <w:szCs w:val="27"/>
        </w:rPr>
      </w:pPr>
      <w:r w:rsidRPr="0066561C">
        <w:rPr>
          <w:rFonts w:ascii="Arial" w:eastAsia="Times New Roman" w:hAnsi="Arial" w:cs="Arial"/>
          <w:sz w:val="27"/>
          <w:szCs w:val="27"/>
        </w:rPr>
        <w:t>Once the individual has created an organized Current Assets List, they will need to decide who the beneficiaries of their estate will be. For their estate to be distributed in the most efficient way possible, the individual should decide exactly how their property and other assets will be divided amongst their beneficiaries.</w:t>
      </w:r>
    </w:p>
    <w:p w14:paraId="7E38872A" w14:textId="77777777" w:rsidR="0066561C" w:rsidRDefault="0066561C" w:rsidP="0066561C">
      <w:pPr>
        <w:rPr>
          <w:rFonts w:ascii="Arial" w:eastAsia="Times New Roman" w:hAnsi="Arial" w:cs="Arial"/>
          <w:sz w:val="27"/>
          <w:szCs w:val="27"/>
        </w:rPr>
      </w:pPr>
    </w:p>
    <w:p w14:paraId="6B8DF8FB" w14:textId="77777777" w:rsidR="000961C7" w:rsidRDefault="000961C7" w:rsidP="0066561C">
      <w:pPr>
        <w:rPr>
          <w:rFonts w:ascii="Arial" w:eastAsia="Times New Roman" w:hAnsi="Arial" w:cs="Arial"/>
          <w:sz w:val="27"/>
          <w:szCs w:val="27"/>
        </w:rPr>
      </w:pPr>
    </w:p>
    <w:p w14:paraId="4095B191" w14:textId="77777777" w:rsidR="000961C7" w:rsidRDefault="000961C7" w:rsidP="0066561C">
      <w:pPr>
        <w:rPr>
          <w:rFonts w:ascii="Arial" w:eastAsia="Times New Roman" w:hAnsi="Arial" w:cs="Arial"/>
          <w:sz w:val="27"/>
          <w:szCs w:val="27"/>
        </w:rPr>
      </w:pPr>
    </w:p>
    <w:p w14:paraId="49C9CF3B" w14:textId="77777777" w:rsidR="000961C7" w:rsidRPr="0066561C" w:rsidRDefault="000961C7" w:rsidP="0066561C">
      <w:pPr>
        <w:rPr>
          <w:rFonts w:ascii="Arial" w:eastAsia="Times New Roman" w:hAnsi="Arial" w:cs="Arial"/>
          <w:sz w:val="27"/>
          <w:szCs w:val="27"/>
        </w:rPr>
      </w:pPr>
      <w:bookmarkStart w:id="0" w:name="_GoBack"/>
      <w:bookmarkEnd w:id="0"/>
    </w:p>
    <w:p w14:paraId="4CF53B67" w14:textId="59A64EE4" w:rsidR="0066561C" w:rsidRPr="0066561C" w:rsidRDefault="0066561C" w:rsidP="0066561C">
      <w:pPr>
        <w:rPr>
          <w:rFonts w:ascii="Arial" w:eastAsia="Times New Roman" w:hAnsi="Arial" w:cs="Arial"/>
          <w:b/>
          <w:bCs/>
          <w:sz w:val="32"/>
          <w:szCs w:val="32"/>
        </w:rPr>
      </w:pPr>
      <w:r w:rsidRPr="0066561C">
        <w:rPr>
          <w:rFonts w:ascii="Arial" w:eastAsia="Times New Roman" w:hAnsi="Arial" w:cs="Arial"/>
          <w:b/>
          <w:bCs/>
          <w:sz w:val="32"/>
          <w:szCs w:val="32"/>
        </w:rPr>
        <w:lastRenderedPageBreak/>
        <w:t>Step 5 - Create a Last Will and Testament or Living Trust</w:t>
      </w:r>
      <w:r w:rsidRPr="0066561C">
        <w:rPr>
          <w:rFonts w:ascii="Arial" w:eastAsia="Times New Roman" w:hAnsi="Arial" w:cs="Arial"/>
          <w:b/>
          <w:bCs/>
          <w:sz w:val="32"/>
          <w:szCs w:val="32"/>
        </w:rPr>
        <w:br/>
      </w:r>
    </w:p>
    <w:p w14:paraId="76F4B93A" w14:textId="77777777" w:rsidR="0066561C" w:rsidRPr="0066561C" w:rsidRDefault="0066561C" w:rsidP="0066561C">
      <w:pPr>
        <w:rPr>
          <w:rFonts w:ascii="Arial" w:eastAsia="Times New Roman" w:hAnsi="Arial" w:cs="Arial"/>
          <w:sz w:val="27"/>
          <w:szCs w:val="27"/>
        </w:rPr>
      </w:pPr>
      <w:r w:rsidRPr="0066561C">
        <w:rPr>
          <w:rFonts w:ascii="Arial" w:eastAsia="Times New Roman" w:hAnsi="Arial" w:cs="Arial"/>
          <w:sz w:val="27"/>
          <w:szCs w:val="27"/>
        </w:rPr>
        <w:t xml:space="preserve">There are </w:t>
      </w:r>
      <w:r w:rsidRPr="0066561C">
        <w:rPr>
          <w:rFonts w:ascii="Arial" w:eastAsia="Times New Roman" w:hAnsi="Arial" w:cs="Arial"/>
          <w:b/>
          <w:bCs/>
          <w:sz w:val="27"/>
          <w:szCs w:val="27"/>
        </w:rPr>
        <w:t>two (2) options </w:t>
      </w:r>
      <w:r w:rsidRPr="0066561C">
        <w:rPr>
          <w:rFonts w:ascii="Arial" w:eastAsia="Times New Roman" w:hAnsi="Arial" w:cs="Arial"/>
          <w:sz w:val="27"/>
          <w:szCs w:val="27"/>
        </w:rPr>
        <w:t>that residents can choose to distribute their estate and property; the Last Will and Testament and the Living Trust. An individual may choose to use one (1) or both options to administer their estate.</w:t>
      </w:r>
    </w:p>
    <w:p w14:paraId="2572EBF8" w14:textId="77777777" w:rsidR="0066561C" w:rsidRPr="0066561C" w:rsidRDefault="0066561C" w:rsidP="0066561C">
      <w:pPr>
        <w:rPr>
          <w:rFonts w:ascii="Arial" w:eastAsia="Times New Roman" w:hAnsi="Arial" w:cs="Arial"/>
          <w:sz w:val="27"/>
          <w:szCs w:val="27"/>
        </w:rPr>
      </w:pPr>
      <w:r w:rsidRPr="0066561C">
        <w:rPr>
          <w:rFonts w:ascii="Arial" w:eastAsia="Times New Roman" w:hAnsi="Arial" w:cs="Arial"/>
          <w:sz w:val="27"/>
          <w:szCs w:val="27"/>
        </w:rPr>
        <w:t xml:space="preserve">The </w:t>
      </w:r>
      <w:hyperlink r:id="rId12" w:history="1">
        <w:r w:rsidRPr="0066561C">
          <w:rPr>
            <w:rStyle w:val="Hyperlink"/>
            <w:rFonts w:ascii="Arial" w:eastAsia="Times New Roman" w:hAnsi="Arial" w:cs="Arial"/>
            <w:sz w:val="27"/>
            <w:szCs w:val="27"/>
          </w:rPr>
          <w:t>Last Will and Testament</w:t>
        </w:r>
      </w:hyperlink>
      <w:r w:rsidRPr="0066561C">
        <w:rPr>
          <w:rFonts w:ascii="Arial" w:eastAsia="Times New Roman" w:hAnsi="Arial" w:cs="Arial"/>
          <w:sz w:val="27"/>
          <w:szCs w:val="27"/>
        </w:rPr>
        <w:t> is a legal instrument in which an individual (the testator/settlor) bequeaths their property to a list of named beneficiaries as specified within the document. When the testator dies, their estate will be divided among the beneficiaries according to the Will's specifications after the Will has been proven in court (probate).</w:t>
      </w:r>
    </w:p>
    <w:p w14:paraId="44D35359" w14:textId="77777777" w:rsidR="0066561C" w:rsidRPr="0066561C" w:rsidRDefault="0066561C" w:rsidP="0066561C">
      <w:pPr>
        <w:numPr>
          <w:ilvl w:val="0"/>
          <w:numId w:val="9"/>
        </w:numPr>
        <w:rPr>
          <w:rFonts w:ascii="Arial" w:eastAsia="Times New Roman" w:hAnsi="Arial" w:cs="Arial"/>
          <w:sz w:val="27"/>
          <w:szCs w:val="27"/>
        </w:rPr>
      </w:pPr>
      <w:r w:rsidRPr="0066561C">
        <w:rPr>
          <w:rFonts w:ascii="Arial" w:eastAsia="Times New Roman" w:hAnsi="Arial" w:cs="Arial"/>
          <w:b/>
          <w:bCs/>
          <w:sz w:val="27"/>
          <w:szCs w:val="27"/>
        </w:rPr>
        <w:t>Signing Requirements</w:t>
      </w:r>
      <w:r w:rsidRPr="0066561C">
        <w:rPr>
          <w:rFonts w:ascii="Arial" w:eastAsia="Times New Roman" w:hAnsi="Arial" w:cs="Arial"/>
          <w:sz w:val="27"/>
          <w:szCs w:val="27"/>
        </w:rPr>
        <w:t> ( </w:t>
      </w:r>
      <w:hyperlink r:id="rId13" w:tgtFrame="_blank" w:history="1">
        <w:r w:rsidRPr="0066561C">
          <w:rPr>
            <w:rStyle w:val="Hyperlink"/>
            <w:rFonts w:ascii="Arial" w:eastAsia="Times New Roman" w:hAnsi="Arial" w:cs="Arial"/>
            <w:sz w:val="27"/>
            <w:szCs w:val="27"/>
          </w:rPr>
          <w:t>§755 ILCS 5/4-3</w:t>
        </w:r>
      </w:hyperlink>
      <w:r w:rsidRPr="0066561C">
        <w:rPr>
          <w:rFonts w:ascii="Arial" w:eastAsia="Times New Roman" w:hAnsi="Arial" w:cs="Arial"/>
          <w:sz w:val="27"/>
          <w:szCs w:val="27"/>
        </w:rPr>
        <w:t>) - Must be signed by at least two (2) witnesses.</w:t>
      </w:r>
    </w:p>
    <w:p w14:paraId="7A315765" w14:textId="77777777" w:rsidR="0066561C" w:rsidRPr="0066561C" w:rsidRDefault="0066561C" w:rsidP="0066561C">
      <w:pPr>
        <w:rPr>
          <w:rFonts w:ascii="Arial" w:eastAsia="Times New Roman" w:hAnsi="Arial" w:cs="Arial"/>
          <w:sz w:val="27"/>
          <w:szCs w:val="27"/>
        </w:rPr>
      </w:pPr>
      <w:r w:rsidRPr="0066561C">
        <w:rPr>
          <w:rFonts w:ascii="Arial" w:eastAsia="Times New Roman" w:hAnsi="Arial" w:cs="Arial"/>
          <w:sz w:val="27"/>
          <w:szCs w:val="27"/>
        </w:rPr>
        <w:t xml:space="preserve">A </w:t>
      </w:r>
      <w:hyperlink r:id="rId14" w:history="1">
        <w:r w:rsidRPr="0066561C">
          <w:rPr>
            <w:rStyle w:val="Hyperlink"/>
            <w:rFonts w:ascii="Arial" w:eastAsia="Times New Roman" w:hAnsi="Arial" w:cs="Arial"/>
            <w:sz w:val="27"/>
            <w:szCs w:val="27"/>
          </w:rPr>
          <w:t>Living Trust (Revocable)</w:t>
        </w:r>
      </w:hyperlink>
      <w:r w:rsidRPr="0066561C">
        <w:rPr>
          <w:rFonts w:ascii="Arial" w:eastAsia="Times New Roman" w:hAnsi="Arial" w:cs="Arial"/>
          <w:sz w:val="27"/>
          <w:szCs w:val="27"/>
        </w:rPr>
        <w:t> is similar to except for the fact that the individual who makes it (the grantor) transfers the ownership of the assets to the Trust as a separate entity. During their lifetime, the grantor continues to benefit from their assets, and at the time of their death, all of the assets held by the Trust will be distributed to its beneficiaries without probate.</w:t>
      </w:r>
    </w:p>
    <w:p w14:paraId="51F2A444" w14:textId="77777777" w:rsidR="0066561C" w:rsidRPr="0066561C" w:rsidRDefault="0066561C" w:rsidP="0066561C">
      <w:pPr>
        <w:numPr>
          <w:ilvl w:val="0"/>
          <w:numId w:val="10"/>
        </w:numPr>
        <w:rPr>
          <w:rFonts w:ascii="Arial" w:eastAsia="Times New Roman" w:hAnsi="Arial" w:cs="Arial"/>
          <w:sz w:val="27"/>
          <w:szCs w:val="27"/>
        </w:rPr>
      </w:pPr>
      <w:r w:rsidRPr="0066561C">
        <w:rPr>
          <w:rFonts w:ascii="Arial" w:eastAsia="Times New Roman" w:hAnsi="Arial" w:cs="Arial"/>
          <w:b/>
          <w:bCs/>
          <w:sz w:val="27"/>
          <w:szCs w:val="27"/>
        </w:rPr>
        <w:t>Signing Requirements</w:t>
      </w:r>
      <w:r w:rsidRPr="0066561C">
        <w:rPr>
          <w:rFonts w:ascii="Arial" w:eastAsia="Times New Roman" w:hAnsi="Arial" w:cs="Arial"/>
          <w:sz w:val="27"/>
          <w:szCs w:val="27"/>
        </w:rPr>
        <w:t> (</w:t>
      </w:r>
      <w:hyperlink r:id="rId15" w:tgtFrame="_blank" w:history="1">
        <w:r w:rsidRPr="0066561C">
          <w:rPr>
            <w:rStyle w:val="Hyperlink"/>
            <w:rFonts w:ascii="Arial" w:eastAsia="Times New Roman" w:hAnsi="Arial" w:cs="Arial"/>
            <w:sz w:val="27"/>
            <w:szCs w:val="27"/>
          </w:rPr>
          <w:t>760 ILCS 5/ § 8.5</w:t>
        </w:r>
      </w:hyperlink>
      <w:r w:rsidRPr="0066561C">
        <w:rPr>
          <w:rFonts w:ascii="Arial" w:eastAsia="Times New Roman" w:hAnsi="Arial" w:cs="Arial"/>
          <w:sz w:val="27"/>
          <w:szCs w:val="27"/>
        </w:rPr>
        <w:t>) - A certification of the Trust must be signed by one or more of the trustees and a Notary Public.</w:t>
      </w:r>
    </w:p>
    <w:p w14:paraId="4991ECDC" w14:textId="77777777" w:rsidR="0066561C" w:rsidRDefault="0066561C" w:rsidP="0066561C">
      <w:pPr>
        <w:rPr>
          <w:rFonts w:ascii="Arial" w:eastAsia="Times New Roman" w:hAnsi="Arial" w:cs="Arial"/>
          <w:b/>
          <w:bCs/>
          <w:sz w:val="27"/>
          <w:szCs w:val="27"/>
        </w:rPr>
      </w:pPr>
    </w:p>
    <w:p w14:paraId="6494B82A" w14:textId="77777777" w:rsidR="0066561C" w:rsidRPr="0066561C" w:rsidRDefault="0066561C" w:rsidP="0066561C">
      <w:pPr>
        <w:rPr>
          <w:rFonts w:ascii="Arial" w:eastAsia="Times New Roman" w:hAnsi="Arial" w:cs="Arial"/>
          <w:b/>
          <w:bCs/>
          <w:sz w:val="32"/>
          <w:szCs w:val="32"/>
        </w:rPr>
      </w:pPr>
      <w:r w:rsidRPr="0066561C">
        <w:rPr>
          <w:rFonts w:ascii="Arial" w:eastAsia="Times New Roman" w:hAnsi="Arial" w:cs="Arial"/>
          <w:b/>
          <w:bCs/>
          <w:sz w:val="32"/>
          <w:szCs w:val="32"/>
        </w:rPr>
        <w:t>Step 6 - Store the Documents</w:t>
      </w:r>
    </w:p>
    <w:p w14:paraId="1F9C4864" w14:textId="77777777" w:rsidR="0066561C" w:rsidRPr="0066561C" w:rsidRDefault="0066561C" w:rsidP="0066561C">
      <w:pPr>
        <w:rPr>
          <w:rFonts w:ascii="Arial" w:eastAsia="Times New Roman" w:hAnsi="Arial" w:cs="Arial"/>
          <w:b/>
          <w:bCs/>
          <w:sz w:val="27"/>
          <w:szCs w:val="27"/>
        </w:rPr>
      </w:pPr>
    </w:p>
    <w:p w14:paraId="386A1FF0" w14:textId="77777777" w:rsidR="0066561C" w:rsidRDefault="0066561C" w:rsidP="0066561C">
      <w:pPr>
        <w:rPr>
          <w:rFonts w:ascii="Arial" w:eastAsia="Times New Roman" w:hAnsi="Arial" w:cs="Arial"/>
          <w:sz w:val="27"/>
          <w:szCs w:val="27"/>
        </w:rPr>
      </w:pPr>
      <w:r w:rsidRPr="0066561C">
        <w:rPr>
          <w:rFonts w:ascii="Arial" w:eastAsia="Times New Roman" w:hAnsi="Arial" w:cs="Arial"/>
          <w:sz w:val="27"/>
          <w:szCs w:val="27"/>
        </w:rPr>
        <w:t>All the above-mentioned documents should be kept in a secure place following their execution. A copy or original of the Health Care Power of Attorney and Durable Power of Attorney should be left in the possession of the individual(s) name as attorney-in-fact.</w:t>
      </w:r>
    </w:p>
    <w:p w14:paraId="4EA4B40D" w14:textId="77777777" w:rsidR="0066561C" w:rsidRPr="0066561C" w:rsidRDefault="0066561C" w:rsidP="0066561C">
      <w:pPr>
        <w:rPr>
          <w:rFonts w:ascii="Arial" w:eastAsia="Times New Roman" w:hAnsi="Arial" w:cs="Arial"/>
          <w:sz w:val="27"/>
          <w:szCs w:val="27"/>
        </w:rPr>
      </w:pPr>
    </w:p>
    <w:p w14:paraId="5A581D9E" w14:textId="77777777" w:rsidR="0066561C" w:rsidRPr="0066561C" w:rsidRDefault="0066561C" w:rsidP="0066561C">
      <w:pPr>
        <w:rPr>
          <w:rFonts w:ascii="Arial" w:eastAsia="Times New Roman" w:hAnsi="Arial" w:cs="Arial"/>
          <w:b/>
          <w:bCs/>
          <w:sz w:val="32"/>
          <w:szCs w:val="32"/>
        </w:rPr>
      </w:pPr>
      <w:r w:rsidRPr="0066561C">
        <w:rPr>
          <w:rFonts w:ascii="Arial" w:eastAsia="Times New Roman" w:hAnsi="Arial" w:cs="Arial"/>
          <w:b/>
          <w:bCs/>
          <w:sz w:val="32"/>
          <w:szCs w:val="32"/>
        </w:rPr>
        <w:t>Illinois Estate Planning Laws</w:t>
      </w:r>
    </w:p>
    <w:p w14:paraId="6A1F5249" w14:textId="77777777" w:rsidR="0066561C" w:rsidRPr="0066561C" w:rsidRDefault="0066561C" w:rsidP="0066561C">
      <w:pPr>
        <w:rPr>
          <w:rFonts w:ascii="Arial" w:eastAsia="Times New Roman" w:hAnsi="Arial" w:cs="Arial"/>
          <w:b/>
          <w:bCs/>
          <w:sz w:val="27"/>
          <w:szCs w:val="27"/>
        </w:rPr>
      </w:pPr>
    </w:p>
    <w:p w14:paraId="017511AA" w14:textId="77777777" w:rsidR="0066561C" w:rsidRPr="0066561C" w:rsidRDefault="0066561C" w:rsidP="0066561C">
      <w:pPr>
        <w:numPr>
          <w:ilvl w:val="0"/>
          <w:numId w:val="11"/>
        </w:numPr>
        <w:rPr>
          <w:rFonts w:ascii="Arial" w:eastAsia="Times New Roman" w:hAnsi="Arial" w:cs="Arial"/>
          <w:sz w:val="27"/>
          <w:szCs w:val="27"/>
        </w:rPr>
      </w:pPr>
      <w:r w:rsidRPr="0066561C">
        <w:rPr>
          <w:rFonts w:ascii="Arial" w:eastAsia="Times New Roman" w:hAnsi="Arial" w:cs="Arial"/>
          <w:b/>
          <w:bCs/>
          <w:sz w:val="27"/>
          <w:szCs w:val="27"/>
        </w:rPr>
        <w:t>Health Care Power of Attorney</w:t>
      </w:r>
      <w:r w:rsidRPr="0066561C">
        <w:rPr>
          <w:rFonts w:ascii="Arial" w:eastAsia="Times New Roman" w:hAnsi="Arial" w:cs="Arial"/>
          <w:sz w:val="27"/>
          <w:szCs w:val="27"/>
        </w:rPr>
        <w:t> – </w:t>
      </w:r>
      <w:hyperlink r:id="rId16" w:tgtFrame="_blank" w:history="1">
        <w:r w:rsidRPr="0066561C">
          <w:rPr>
            <w:rStyle w:val="Hyperlink"/>
            <w:rFonts w:ascii="Arial" w:eastAsia="Times New Roman" w:hAnsi="Arial" w:cs="Arial"/>
            <w:sz w:val="27"/>
            <w:szCs w:val="27"/>
          </w:rPr>
          <w:t xml:space="preserve">§ 755 ILCS 45/4-10 </w:t>
        </w:r>
      </w:hyperlink>
    </w:p>
    <w:p w14:paraId="03336361" w14:textId="77777777" w:rsidR="0066561C" w:rsidRPr="0066561C" w:rsidRDefault="0066561C" w:rsidP="0066561C">
      <w:pPr>
        <w:numPr>
          <w:ilvl w:val="0"/>
          <w:numId w:val="11"/>
        </w:numPr>
        <w:rPr>
          <w:rFonts w:ascii="Arial" w:eastAsia="Times New Roman" w:hAnsi="Arial" w:cs="Arial"/>
          <w:sz w:val="27"/>
          <w:szCs w:val="27"/>
        </w:rPr>
      </w:pPr>
      <w:r w:rsidRPr="0066561C">
        <w:rPr>
          <w:rFonts w:ascii="Arial" w:eastAsia="Times New Roman" w:hAnsi="Arial" w:cs="Arial"/>
          <w:b/>
          <w:bCs/>
          <w:sz w:val="27"/>
          <w:szCs w:val="27"/>
        </w:rPr>
        <w:t>Durable Power of Attorney</w:t>
      </w:r>
      <w:r w:rsidRPr="0066561C">
        <w:rPr>
          <w:rFonts w:ascii="Arial" w:eastAsia="Times New Roman" w:hAnsi="Arial" w:cs="Arial"/>
          <w:sz w:val="27"/>
          <w:szCs w:val="27"/>
        </w:rPr>
        <w:t> – </w:t>
      </w:r>
      <w:hyperlink r:id="rId17" w:tgtFrame="_blank" w:history="1">
        <w:r w:rsidRPr="0066561C">
          <w:rPr>
            <w:rStyle w:val="Hyperlink"/>
            <w:rFonts w:ascii="Arial" w:eastAsia="Times New Roman" w:hAnsi="Arial" w:cs="Arial"/>
            <w:sz w:val="27"/>
            <w:szCs w:val="27"/>
          </w:rPr>
          <w:t>§ 755 ILCS 45/ Art. II</w:t>
        </w:r>
      </w:hyperlink>
    </w:p>
    <w:p w14:paraId="657831B1" w14:textId="77777777" w:rsidR="0066561C" w:rsidRPr="0066561C" w:rsidRDefault="0066561C" w:rsidP="0066561C">
      <w:pPr>
        <w:numPr>
          <w:ilvl w:val="0"/>
          <w:numId w:val="11"/>
        </w:numPr>
        <w:rPr>
          <w:rFonts w:ascii="Arial" w:eastAsia="Times New Roman" w:hAnsi="Arial" w:cs="Arial"/>
          <w:sz w:val="27"/>
          <w:szCs w:val="27"/>
        </w:rPr>
      </w:pPr>
      <w:r w:rsidRPr="0066561C">
        <w:rPr>
          <w:rFonts w:ascii="Arial" w:eastAsia="Times New Roman" w:hAnsi="Arial" w:cs="Arial"/>
          <w:b/>
          <w:bCs/>
          <w:sz w:val="27"/>
          <w:szCs w:val="27"/>
        </w:rPr>
        <w:t>Last Will and Testament</w:t>
      </w:r>
      <w:r w:rsidRPr="0066561C">
        <w:rPr>
          <w:rFonts w:ascii="Arial" w:eastAsia="Times New Roman" w:hAnsi="Arial" w:cs="Arial"/>
          <w:sz w:val="27"/>
          <w:szCs w:val="27"/>
        </w:rPr>
        <w:t> –  </w:t>
      </w:r>
      <w:hyperlink r:id="rId18" w:tgtFrame="_blank" w:history="1">
        <w:r w:rsidRPr="0066561C">
          <w:rPr>
            <w:rStyle w:val="Hyperlink"/>
            <w:rFonts w:ascii="Arial" w:eastAsia="Times New Roman" w:hAnsi="Arial" w:cs="Arial"/>
            <w:sz w:val="27"/>
            <w:szCs w:val="27"/>
          </w:rPr>
          <w:t>§755 ILCS 5/4-1</w:t>
        </w:r>
      </w:hyperlink>
    </w:p>
    <w:p w14:paraId="4F173425" w14:textId="77777777" w:rsidR="0066561C" w:rsidRPr="0066561C" w:rsidRDefault="0066561C" w:rsidP="0066561C">
      <w:pPr>
        <w:numPr>
          <w:ilvl w:val="0"/>
          <w:numId w:val="11"/>
        </w:numPr>
        <w:rPr>
          <w:rFonts w:ascii="Arial" w:eastAsia="Times New Roman" w:hAnsi="Arial" w:cs="Arial"/>
          <w:sz w:val="27"/>
          <w:szCs w:val="27"/>
        </w:rPr>
      </w:pPr>
      <w:r w:rsidRPr="0066561C">
        <w:rPr>
          <w:rFonts w:ascii="Arial" w:eastAsia="Times New Roman" w:hAnsi="Arial" w:cs="Arial"/>
          <w:b/>
          <w:bCs/>
          <w:sz w:val="27"/>
          <w:szCs w:val="27"/>
        </w:rPr>
        <w:t>Living Trust (Revocable)</w:t>
      </w:r>
      <w:r w:rsidRPr="0066561C">
        <w:rPr>
          <w:rFonts w:ascii="Arial" w:eastAsia="Times New Roman" w:hAnsi="Arial" w:cs="Arial"/>
          <w:sz w:val="27"/>
          <w:szCs w:val="27"/>
        </w:rPr>
        <w:t> – </w:t>
      </w:r>
      <w:hyperlink r:id="rId19" w:tgtFrame="_blank" w:history="1">
        <w:r w:rsidRPr="0066561C">
          <w:rPr>
            <w:rStyle w:val="Hyperlink"/>
            <w:rFonts w:ascii="Arial" w:eastAsia="Times New Roman" w:hAnsi="Arial" w:cs="Arial"/>
            <w:sz w:val="27"/>
            <w:szCs w:val="27"/>
          </w:rPr>
          <w:t>§ 760 ILCS 5/8.5</w:t>
        </w:r>
      </w:hyperlink>
    </w:p>
    <w:p w14:paraId="78DA7389" w14:textId="77777777" w:rsidR="00FF2F8B" w:rsidRDefault="00FF2F8B">
      <w:pPr>
        <w:rPr>
          <w:rFonts w:ascii="Arial" w:hAnsi="Arial" w:cs="Arial"/>
          <w:sz w:val="27"/>
          <w:szCs w:val="27"/>
        </w:rPr>
      </w:pPr>
    </w:p>
    <w:sectPr w:rsidR="00FF2F8B">
      <w:footerReference w:type="defaul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67603" w14:textId="77777777" w:rsidR="001E7191" w:rsidRDefault="001E7191">
      <w:r>
        <w:separator/>
      </w:r>
    </w:p>
  </w:endnote>
  <w:endnote w:type="continuationSeparator" w:id="0">
    <w:p w14:paraId="42AA8117" w14:textId="77777777" w:rsidR="001E7191" w:rsidRDefault="001E7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518F5" w14:textId="77777777" w:rsidR="00A43ED0" w:rsidRDefault="00A9662C">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78A8823D" wp14:editId="73996541">
              <wp:simplePos x="0" y="0"/>
              <wp:positionH relativeFrom="page">
                <wp:posOffset>5855268</wp:posOffset>
              </wp:positionH>
              <wp:positionV relativeFrom="paragraph">
                <wp:posOffset>81198</wp:posOffset>
              </wp:positionV>
              <wp:extent cx="1231900" cy="14605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900" cy="146050"/>
                      </a:xfrm>
                      <a:prstGeom prst="rect">
                        <a:avLst/>
                      </a:prstGeom>
                      <a:ln>
                        <a:noFill/>
                        <a:prstDash/>
                      </a:ln>
                    </wps:spPr>
                    <wps:txbx>
                      <w:txbxContent>
                        <w:p w14:paraId="2A41D7D6" w14:textId="77777777" w:rsidR="00A43ED0" w:rsidRDefault="00A9662C">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0961C7">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sidR="000961C7">
                            <w:rPr>
                              <w:rStyle w:val="PageNumber"/>
                              <w:rFonts w:ascii="Arial" w:hAnsi="Arial" w:cs="Arial"/>
                              <w:noProof/>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78A8823D" id="_x0000_t202" coordsize="21600,21600" o:spt="202" path="m0,0l0,21600,21600,21600,21600,0xe">
              <v:stroke joinstyle="miter"/>
              <v:path gradientshapeok="t" o:connecttype="rect"/>
            </v:shapetype>
            <v:shape id="Text Box 1" o:spid="_x0000_s1026" type="#_x0000_t202" style="position:absolute;margin-left:461.05pt;margin-top:6.4pt;width:97pt;height:11.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" filled="f" stroked="f">
              <v:textbox style="mso-fit-shape-to-text:t" inset="0,0,0,0">
                <w:txbxContent>
                  <w:p w14:paraId="2A41D7D6" w14:textId="77777777" w:rsidR="00A43ED0" w:rsidRDefault="00A9662C">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0961C7">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sidR="000961C7">
                      <w:rPr>
                        <w:rStyle w:val="PageNumber"/>
                        <w:rFonts w:ascii="Arial" w:hAnsi="Arial" w:cs="Arial"/>
                        <w:noProof/>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ECE5BA2" wp14:editId="224A6C75">
          <wp:extent cx="254002" cy="254002"/>
          <wp:effectExtent l="0" t="0" r="0" b="0"/>
          <wp:docPr id="2"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69800" w14:textId="77777777" w:rsidR="001E7191" w:rsidRDefault="001E7191">
      <w:r>
        <w:rPr>
          <w:color w:val="000000"/>
        </w:rPr>
        <w:separator/>
      </w:r>
    </w:p>
  </w:footnote>
  <w:footnote w:type="continuationSeparator" w:id="0">
    <w:p w14:paraId="1DC4EE22" w14:textId="77777777" w:rsidR="001E7191" w:rsidRDefault="001E71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B2611"/>
    <w:multiLevelType w:val="multilevel"/>
    <w:tmpl w:val="2F36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72951"/>
    <w:multiLevelType w:val="multilevel"/>
    <w:tmpl w:val="6B96C3C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nsid w:val="1E3100C1"/>
    <w:multiLevelType w:val="multilevel"/>
    <w:tmpl w:val="55D4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A871E8"/>
    <w:multiLevelType w:val="multilevel"/>
    <w:tmpl w:val="474A476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38CD5E86"/>
    <w:multiLevelType w:val="multilevel"/>
    <w:tmpl w:val="0E0E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754E9C"/>
    <w:multiLevelType w:val="multilevel"/>
    <w:tmpl w:val="045EDED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nsid w:val="52B64706"/>
    <w:multiLevelType w:val="multilevel"/>
    <w:tmpl w:val="E670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CD143B"/>
    <w:multiLevelType w:val="multilevel"/>
    <w:tmpl w:val="B67417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nsid w:val="6FBD6F47"/>
    <w:multiLevelType w:val="multilevel"/>
    <w:tmpl w:val="71E00F1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nsid w:val="750C2CBE"/>
    <w:multiLevelType w:val="multilevel"/>
    <w:tmpl w:val="7ADC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876C05"/>
    <w:multiLevelType w:val="multilevel"/>
    <w:tmpl w:val="8806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
  </w:num>
  <w:num w:numId="4">
    <w:abstractNumId w:val="8"/>
  </w:num>
  <w:num w:numId="5">
    <w:abstractNumId w:val="3"/>
  </w:num>
  <w:num w:numId="6">
    <w:abstractNumId w:val="6"/>
  </w:num>
  <w:num w:numId="7">
    <w:abstractNumId w:val="9"/>
  </w:num>
  <w:num w:numId="8">
    <w:abstractNumId w:val="4"/>
  </w:num>
  <w:num w:numId="9">
    <w:abstractNumId w:val="0"/>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8B"/>
    <w:rsid w:val="000961C7"/>
    <w:rsid w:val="001E7191"/>
    <w:rsid w:val="0066561C"/>
    <w:rsid w:val="008A56A8"/>
    <w:rsid w:val="00A9662C"/>
    <w:rsid w:val="00C4721A"/>
    <w:rsid w:val="00FF2F8B"/>
    <w:rsid w:val="00FF42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A40C605"/>
  <w15:docId w15:val="{F224302D-E1DB-8241-86D3-3C71614F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paragraph" w:styleId="Heading1">
    <w:name w:val="heading 1"/>
    <w:basedOn w:val="Normal"/>
    <w:uiPriority w:val="9"/>
    <w:qFormat/>
    <w:pPr>
      <w:spacing w:before="100" w:after="100"/>
      <w:outlineLvl w:val="0"/>
    </w:pPr>
    <w:rPr>
      <w:rFonts w:ascii="Times New Roman" w:eastAsia="Times New Roman" w:hAnsi="Times New Roman"/>
      <w:b/>
      <w:bCs/>
      <w:kern w:val="3"/>
      <w:sz w:val="48"/>
      <w:szCs w:val="48"/>
    </w:rPr>
  </w:style>
  <w:style w:type="paragraph" w:styleId="Heading3">
    <w:name w:val="heading 3"/>
    <w:basedOn w:val="Normal"/>
    <w:uiPriority w:val="9"/>
    <w:unhideWhenUsed/>
    <w:qFormat/>
    <w:pPr>
      <w:spacing w:before="100" w:after="100"/>
      <w:outlineLvl w:val="2"/>
    </w:pPr>
    <w:rPr>
      <w:rFonts w:ascii="Times New Roman" w:eastAsia="Times New Roman" w:hAnsi="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rPr>
  </w:style>
  <w:style w:type="character" w:customStyle="1" w:styleId="Heading3Char">
    <w:name w:val="Heading 3 Char"/>
    <w:basedOn w:val="DefaultParagraphFont"/>
    <w:rPr>
      <w:rFonts w:ascii="Times New Roman" w:eastAsia="Times New Roman" w:hAnsi="Times New Roman" w:cs="Times New Roman"/>
      <w:b/>
      <w:bCs/>
      <w:sz w:val="27"/>
      <w:szCs w:val="27"/>
    </w:r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Hyperlink">
    <w:name w:val="Hyperlink"/>
    <w:basedOn w:val="DefaultParagraphFont"/>
    <w:rPr>
      <w:color w:val="0000FF"/>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079917">
      <w:bodyDiv w:val="1"/>
      <w:marLeft w:val="0"/>
      <w:marRight w:val="0"/>
      <w:marTop w:val="0"/>
      <w:marBottom w:val="0"/>
      <w:divBdr>
        <w:top w:val="none" w:sz="0" w:space="0" w:color="auto"/>
        <w:left w:val="none" w:sz="0" w:space="0" w:color="auto"/>
        <w:bottom w:val="none" w:sz="0" w:space="0" w:color="auto"/>
        <w:right w:val="none" w:sz="0" w:space="0" w:color="auto"/>
      </w:divBdr>
    </w:div>
    <w:div w:id="998731347">
      <w:bodyDiv w:val="1"/>
      <w:marLeft w:val="0"/>
      <w:marRight w:val="0"/>
      <w:marTop w:val="0"/>
      <w:marBottom w:val="0"/>
      <w:divBdr>
        <w:top w:val="none" w:sz="0" w:space="0" w:color="auto"/>
        <w:left w:val="none" w:sz="0" w:space="0" w:color="auto"/>
        <w:bottom w:val="none" w:sz="0" w:space="0" w:color="auto"/>
        <w:right w:val="none" w:sz="0" w:space="0" w:color="auto"/>
      </w:divBdr>
    </w:div>
    <w:div w:id="16202578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forms.com/power-of-attorney/il/illinois-durable-power-of-attorney/"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ilga.gov/legislation/ilcs/ilcs4.asp?DocName=075500450HArt%2E+II&amp;ActID=2113&amp;ChapterID=60&amp;SeqStart=300000&amp;SeqEnd=1900000" TargetMode="External"/><Relationship Id="rId11" Type="http://schemas.openxmlformats.org/officeDocument/2006/relationships/hyperlink" Target="https://eforms.com/estate-planning/current-assets-list/" TargetMode="External"/><Relationship Id="rId12" Type="http://schemas.openxmlformats.org/officeDocument/2006/relationships/hyperlink" Target="https://eforms.com/wills/illinois-last-will-and-testament-template/" TargetMode="External"/><Relationship Id="rId13" Type="http://schemas.openxmlformats.org/officeDocument/2006/relationships/hyperlink" Target="http://www.ilga.gov/legislation/ilcs/fulltext.asp?DocName=075500050K4-3" TargetMode="External"/><Relationship Id="rId14" Type="http://schemas.openxmlformats.org/officeDocument/2006/relationships/hyperlink" Target="https://eforms.com/living-trust/il/illinois-revocable-living-trust-form/" TargetMode="External"/><Relationship Id="rId15" Type="http://schemas.openxmlformats.org/officeDocument/2006/relationships/hyperlink" Target="https://www.lawserver.com/law/state/illinois/il-statutes/760_ilcs_5_8-5" TargetMode="External"/><Relationship Id="rId16" Type="http://schemas.openxmlformats.org/officeDocument/2006/relationships/hyperlink" Target="http://www.ilga.gov/legislation/ilcs/documents/075500450k4-10.htm" TargetMode="External"/><Relationship Id="rId17" Type="http://schemas.openxmlformats.org/officeDocument/2006/relationships/hyperlink" Target="http://www.ilga.gov/legislation/ilcs/ilcs4.asp?DocName=075500450HArt%2E+II&amp;ActID=2113&amp;ChapterID=60&amp;SeqStart=300000&amp;SeqEnd=1900000" TargetMode="External"/><Relationship Id="rId18" Type="http://schemas.openxmlformats.org/officeDocument/2006/relationships/hyperlink" Target="http://www.ilga.gov/legislation/ilcs/fulltext.asp?DocName=075500050K4-1" TargetMode="External"/><Relationship Id="rId19" Type="http://schemas.openxmlformats.org/officeDocument/2006/relationships/hyperlink" Target="https://www.lawserver.com/law/state/illinois/il-statutes/760_ilcs_5_8-5"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forms.com/power-of-attorney/il/illinois-durable-power-of-attorney-for-health-care/" TargetMode="External"/><Relationship Id="rId8" Type="http://schemas.openxmlformats.org/officeDocument/2006/relationships/hyperlink" Target="http://www.ilga.gov/legislation/ilcs/documents/075500450k4-10.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1075</Words>
  <Characters>5572</Characters>
  <Application>Microsoft Macintosh Word</Application>
  <DocSecurity>0</DocSecurity>
  <Lines>139</Lines>
  <Paragraphs>64</Paragraphs>
  <ScaleCrop>false</ScaleCrop>
  <HeadingPairs>
    <vt:vector size="2" baseType="variant">
      <vt:variant>
        <vt:lpstr>Title</vt:lpstr>
      </vt:variant>
      <vt:variant>
        <vt:i4>1</vt:i4>
      </vt:variant>
    </vt:vector>
  </HeadingPairs>
  <TitlesOfParts>
    <vt:vector size="1" baseType="lpstr">
      <vt:lpstr>Alabama Estate Planning Checklist</vt:lpstr>
    </vt:vector>
  </TitlesOfParts>
  <Manager/>
  <Company/>
  <LinksUpToDate>false</LinksUpToDate>
  <CharactersWithSpaces>6583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Estate Planning Checklist</dc:title>
  <dc:subject/>
  <dc:creator>eForms</dc:creator>
  <cp:keywords/>
  <dc:description/>
  <cp:lastModifiedBy>Ian Macaulay</cp:lastModifiedBy>
  <cp:revision>5</cp:revision>
  <dcterms:created xsi:type="dcterms:W3CDTF">2018-11-16T02:54:00Z</dcterms:created>
  <dcterms:modified xsi:type="dcterms:W3CDTF">2018-12-24T20:08:00Z</dcterms:modified>
  <cp:category/>
</cp:coreProperties>
</file>