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85BFE" w14:textId="4DA52B39" w:rsidR="002F73F0" w:rsidRPr="002F73F0" w:rsidRDefault="004B3EB5" w:rsidP="009926B1">
      <w:pPr>
        <w:shd w:val="clear" w:color="auto" w:fill="FFFFFF"/>
        <w:spacing w:beforeLines="100" w:before="240" w:afterLines="100" w:after="240"/>
        <w:jc w:val="center"/>
        <w:rPr>
          <w:rFonts w:ascii="Arial" w:eastAsia="Times New Roman" w:hAnsi="Arial" w:cs="Times New Roman"/>
          <w:b/>
          <w:color w:val="252525"/>
          <w:sz w:val="36"/>
          <w:szCs w:val="36"/>
        </w:rPr>
      </w:pPr>
      <w:r>
        <w:rPr>
          <w:rFonts w:ascii="Arial" w:eastAsia="Times New Roman" w:hAnsi="Arial" w:cs="Times New Roman"/>
          <w:b/>
          <w:color w:val="252525"/>
          <w:sz w:val="36"/>
          <w:szCs w:val="36"/>
        </w:rPr>
        <w:t>IOWA</w:t>
      </w:r>
      <w:r w:rsidR="00975C02">
        <w:rPr>
          <w:rFonts w:ascii="Arial" w:eastAsia="Times New Roman" w:hAnsi="Arial" w:cs="Times New Roman"/>
          <w:b/>
          <w:color w:val="252525"/>
          <w:sz w:val="36"/>
          <w:szCs w:val="36"/>
        </w:rPr>
        <w:t xml:space="preserve"> </w:t>
      </w:r>
      <w:r w:rsidR="002F73F0" w:rsidRPr="002F73F0">
        <w:rPr>
          <w:rFonts w:ascii="Arial" w:eastAsia="Times New Roman" w:hAnsi="Arial" w:cs="Times New Roman"/>
          <w:b/>
          <w:color w:val="252525"/>
          <w:sz w:val="36"/>
          <w:szCs w:val="36"/>
        </w:rPr>
        <w:t>ESTATE PLANNING CHECKLIST</w:t>
      </w:r>
    </w:p>
    <w:p w14:paraId="09FCD91C" w14:textId="77777777" w:rsidR="004B3EB5" w:rsidRDefault="004B3EB5" w:rsidP="004B3EB5">
      <w:pPr>
        <w:pStyle w:val="NormalWeb"/>
        <w:shd w:val="clear" w:color="auto" w:fill="FFFFFF"/>
        <w:spacing w:before="0" w:beforeAutospacing="0" w:after="240" w:afterAutospacing="0"/>
        <w:rPr>
          <w:rFonts w:ascii="Helvetica" w:hAnsi="Helvetica"/>
          <w:color w:val="252525"/>
          <w:sz w:val="23"/>
          <w:szCs w:val="23"/>
          <w:lang w:val="en-US"/>
        </w:rPr>
      </w:pPr>
      <w:r>
        <w:rPr>
          <w:rFonts w:ascii="Helvetica" w:hAnsi="Helvetica"/>
          <w:color w:val="252525"/>
          <w:sz w:val="23"/>
          <w:szCs w:val="23"/>
        </w:rPr>
        <w:t>The instructions provided below contain links to legal instruments that are commonly used in estate planning. It is strongly recommended that individuals hire a professional attorney before executing these documents.</w:t>
      </w:r>
    </w:p>
    <w:p w14:paraId="4421ACC9" w14:textId="77777777" w:rsidR="004B3EB5" w:rsidRDefault="004B3EB5" w:rsidP="004B3EB5">
      <w:pPr>
        <w:pStyle w:val="Heading3"/>
        <w:shd w:val="clear" w:color="auto" w:fill="FFFFFF"/>
        <w:spacing w:before="240" w:beforeAutospacing="0" w:after="48" w:afterAutospacing="0" w:line="360" w:lineRule="atLeast"/>
        <w:rPr>
          <w:rFonts w:ascii="Helvetica" w:hAnsi="Helvetica"/>
          <w:b w:val="0"/>
          <w:bCs w:val="0"/>
          <w:color w:val="252525"/>
          <w:sz w:val="28"/>
          <w:szCs w:val="28"/>
        </w:rPr>
      </w:pPr>
      <w:r>
        <w:rPr>
          <w:rStyle w:val="Strong"/>
          <w:rFonts w:ascii="Helvetica" w:hAnsi="Helvetica"/>
          <w:b/>
          <w:bCs/>
          <w:color w:val="252525"/>
          <w:sz w:val="28"/>
          <w:szCs w:val="28"/>
        </w:rPr>
        <w:t>Step 1 – Select a Health Care Agent</w:t>
      </w:r>
    </w:p>
    <w:p w14:paraId="5AEE7BE7" w14:textId="77777777" w:rsidR="004B3EB5" w:rsidRDefault="004B3EB5" w:rsidP="004B3EB5">
      <w:pPr>
        <w:pStyle w:val="NormalWeb"/>
        <w:shd w:val="clear" w:color="auto" w:fill="FFFFFF"/>
        <w:spacing w:before="0" w:beforeAutospacing="0" w:after="240" w:afterAutospacing="0"/>
        <w:rPr>
          <w:rFonts w:ascii="Helvetica" w:eastAsiaTheme="minorHAnsi" w:hAnsi="Helvetica"/>
          <w:color w:val="252525"/>
          <w:sz w:val="23"/>
          <w:szCs w:val="23"/>
        </w:rPr>
      </w:pPr>
      <w:r>
        <w:rPr>
          <w:rFonts w:ascii="Helvetica" w:hAnsi="Helvetica"/>
          <w:color w:val="252525"/>
          <w:sz w:val="23"/>
          <w:szCs w:val="23"/>
        </w:rPr>
        <w:t>A </w:t>
      </w:r>
      <w:r>
        <w:rPr>
          <w:rStyle w:val="Strong"/>
          <w:rFonts w:ascii="Helvetica" w:hAnsi="Helvetica"/>
          <w:color w:val="252525"/>
          <w:sz w:val="23"/>
          <w:szCs w:val="23"/>
        </w:rPr>
        <w:t>health care agent </w:t>
      </w:r>
      <w:r>
        <w:rPr>
          <w:rFonts w:ascii="Helvetica" w:hAnsi="Helvetica"/>
          <w:color w:val="252525"/>
          <w:sz w:val="23"/>
          <w:szCs w:val="23"/>
        </w:rPr>
        <w:t xml:space="preserve">is an adult who is appointed by an individual (the principal) to make medical decisions on their behalf </w:t>
      </w:r>
      <w:proofErr w:type="gramStart"/>
      <w:r>
        <w:rPr>
          <w:rFonts w:ascii="Helvetica" w:hAnsi="Helvetica"/>
          <w:color w:val="252525"/>
          <w:sz w:val="23"/>
          <w:szCs w:val="23"/>
        </w:rPr>
        <w:t>in the event that</w:t>
      </w:r>
      <w:proofErr w:type="gramEnd"/>
      <w:r>
        <w:rPr>
          <w:rFonts w:ascii="Helvetica" w:hAnsi="Helvetica"/>
          <w:color w:val="252525"/>
          <w:sz w:val="23"/>
          <w:szCs w:val="23"/>
        </w:rPr>
        <w:t xml:space="preserve"> the principal loses decisional capacity. There are several reasons that this situation could arise; </w:t>
      </w:r>
      <w:proofErr w:type="gramStart"/>
      <w:r>
        <w:rPr>
          <w:rFonts w:ascii="Helvetica" w:hAnsi="Helvetica"/>
          <w:color w:val="252525"/>
          <w:sz w:val="23"/>
          <w:szCs w:val="23"/>
        </w:rPr>
        <w:t>however</w:t>
      </w:r>
      <w:proofErr w:type="gramEnd"/>
      <w:r>
        <w:rPr>
          <w:rFonts w:ascii="Helvetica" w:hAnsi="Helvetica"/>
          <w:color w:val="252525"/>
          <w:sz w:val="23"/>
          <w:szCs w:val="23"/>
        </w:rPr>
        <w:t xml:space="preserve"> it is necessary that the principal’s acting physician make the final determination regarding whether the principal has lost the capacity to represent themselves.</w:t>
      </w:r>
    </w:p>
    <w:p w14:paraId="0A142171" w14:textId="77777777" w:rsidR="004B3EB5" w:rsidRDefault="004B3EB5" w:rsidP="004B3EB5">
      <w:pPr>
        <w:pStyle w:val="NormalWeb"/>
        <w:shd w:val="clear" w:color="auto" w:fill="FFFFFF"/>
        <w:spacing w:before="0" w:beforeAutospacing="0" w:after="240" w:afterAutospacing="0"/>
        <w:rPr>
          <w:rFonts w:ascii="Helvetica" w:hAnsi="Helvetica"/>
          <w:color w:val="252525"/>
          <w:sz w:val="23"/>
          <w:szCs w:val="23"/>
        </w:rPr>
      </w:pPr>
      <w:hyperlink r:id="rId7" w:history="1">
        <w:r>
          <w:rPr>
            <w:rStyle w:val="Hyperlink"/>
            <w:rFonts w:ascii="Helvetica" w:hAnsi="Helvetica"/>
            <w:color w:val="008CDD"/>
            <w:sz w:val="23"/>
            <w:szCs w:val="23"/>
          </w:rPr>
          <w:t>Health Care Power of Attorney</w:t>
        </w:r>
      </w:hyperlink>
      <w:r>
        <w:rPr>
          <w:rFonts w:ascii="Helvetica" w:hAnsi="Helvetica"/>
          <w:color w:val="252525"/>
          <w:sz w:val="23"/>
          <w:szCs w:val="23"/>
        </w:rPr>
        <w:t> – This form grants an individual the authority to act as the Principal’s representative when making medical decisions.</w:t>
      </w:r>
    </w:p>
    <w:p w14:paraId="41539B55" w14:textId="77777777" w:rsidR="004B3EB5" w:rsidRDefault="004B3EB5" w:rsidP="004B3EB5">
      <w:pPr>
        <w:numPr>
          <w:ilvl w:val="0"/>
          <w:numId w:val="28"/>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Style w:val="Strong"/>
          <w:rFonts w:ascii="Helvetica" w:eastAsia="Times New Roman" w:hAnsi="Helvetica"/>
          <w:color w:val="252525"/>
          <w:sz w:val="23"/>
          <w:szCs w:val="23"/>
        </w:rPr>
        <w:t>Signing Requirements</w:t>
      </w:r>
      <w:r>
        <w:rPr>
          <w:rFonts w:ascii="Helvetica" w:eastAsia="Times New Roman" w:hAnsi="Helvetica"/>
          <w:color w:val="252525"/>
          <w:sz w:val="23"/>
          <w:szCs w:val="23"/>
        </w:rPr>
        <w:t> (</w:t>
      </w:r>
      <w:hyperlink r:id="rId8" w:tgtFrame="_blank" w:history="1">
        <w:r>
          <w:rPr>
            <w:rStyle w:val="Hyperlink"/>
            <w:rFonts w:ascii="Helvetica" w:eastAsia="Times New Roman" w:hAnsi="Helvetica"/>
            <w:color w:val="008CDD"/>
            <w:sz w:val="23"/>
            <w:szCs w:val="23"/>
          </w:rPr>
          <w:t>§ 144B.3.1(2)</w:t>
        </w:r>
      </w:hyperlink>
      <w:r>
        <w:rPr>
          <w:rFonts w:ascii="Helvetica" w:eastAsia="Times New Roman" w:hAnsi="Helvetica"/>
          <w:color w:val="252525"/>
          <w:sz w:val="23"/>
          <w:szCs w:val="23"/>
        </w:rPr>
        <w:t>) – A Durable Power of Attorney for Health Care must be signed by the Principal (or by another person acting on behalf of the Principal at the Principal’s direction) and at least two (2) Witnesses who, in the presence of each other and the Principal, witnessed the signing of the instrument.</w:t>
      </w:r>
    </w:p>
    <w:p w14:paraId="3F7AD6F5" w14:textId="77777777" w:rsidR="004B3EB5" w:rsidRDefault="004B3EB5" w:rsidP="004B3EB5">
      <w:pPr>
        <w:pStyle w:val="Heading3"/>
        <w:shd w:val="clear" w:color="auto" w:fill="FFFFFF"/>
        <w:spacing w:before="240" w:beforeAutospacing="0" w:after="48" w:afterAutospacing="0" w:line="360" w:lineRule="atLeast"/>
        <w:rPr>
          <w:rFonts w:ascii="Helvetica" w:hAnsi="Helvetica"/>
          <w:b w:val="0"/>
          <w:bCs w:val="0"/>
          <w:color w:val="252525"/>
          <w:sz w:val="28"/>
          <w:szCs w:val="28"/>
        </w:rPr>
      </w:pPr>
      <w:r>
        <w:rPr>
          <w:rStyle w:val="Strong"/>
          <w:rFonts w:ascii="Helvetica" w:hAnsi="Helvetica"/>
          <w:b/>
          <w:bCs/>
          <w:color w:val="252525"/>
          <w:sz w:val="28"/>
          <w:szCs w:val="28"/>
        </w:rPr>
        <w:t>Step 2 – Select a Financial Agent</w:t>
      </w:r>
    </w:p>
    <w:p w14:paraId="66954EFE" w14:textId="77777777" w:rsidR="004B3EB5" w:rsidRDefault="004B3EB5" w:rsidP="004B3EB5">
      <w:pPr>
        <w:pStyle w:val="NormalWeb"/>
        <w:shd w:val="clear" w:color="auto" w:fill="FFFFFF"/>
        <w:spacing w:before="0" w:beforeAutospacing="0" w:after="240" w:afterAutospacing="0"/>
        <w:rPr>
          <w:rFonts w:ascii="Helvetica" w:eastAsiaTheme="minorHAnsi" w:hAnsi="Helvetica"/>
          <w:color w:val="252525"/>
          <w:sz w:val="23"/>
          <w:szCs w:val="23"/>
        </w:rPr>
      </w:pPr>
      <w:r>
        <w:rPr>
          <w:rFonts w:ascii="Helvetica" w:hAnsi="Helvetica"/>
          <w:color w:val="252525"/>
          <w:sz w:val="23"/>
          <w:szCs w:val="23"/>
        </w:rPr>
        <w:t>A </w:t>
      </w:r>
      <w:r>
        <w:rPr>
          <w:rStyle w:val="Strong"/>
          <w:rFonts w:ascii="Helvetica" w:hAnsi="Helvetica"/>
          <w:color w:val="252525"/>
          <w:sz w:val="23"/>
          <w:szCs w:val="23"/>
        </w:rPr>
        <w:t>financial agent </w:t>
      </w:r>
      <w:r>
        <w:rPr>
          <w:rFonts w:ascii="Helvetica" w:hAnsi="Helvetica"/>
          <w:color w:val="252525"/>
          <w:sz w:val="23"/>
          <w:szCs w:val="23"/>
        </w:rPr>
        <w:t>is an individual who has formally been given the authority to act as the Principal’s attorney-in-fact when making financial decisions. This agent may be able to act in this capacity if the Principal is unable to be present to execute financial documents or if they are mentally incapable of making such decisions themselves.</w:t>
      </w:r>
    </w:p>
    <w:p w14:paraId="090445E3" w14:textId="77777777" w:rsidR="004B3EB5" w:rsidRDefault="004B3EB5" w:rsidP="004B3EB5">
      <w:pPr>
        <w:pStyle w:val="NormalWeb"/>
        <w:shd w:val="clear" w:color="auto" w:fill="FFFFFF"/>
        <w:spacing w:before="0" w:beforeAutospacing="0" w:after="240" w:afterAutospacing="0"/>
        <w:rPr>
          <w:rFonts w:ascii="Helvetica" w:hAnsi="Helvetica"/>
          <w:color w:val="252525"/>
          <w:sz w:val="23"/>
          <w:szCs w:val="23"/>
        </w:rPr>
      </w:pPr>
      <w:hyperlink r:id="rId9" w:history="1">
        <w:r>
          <w:rPr>
            <w:rStyle w:val="Hyperlink"/>
            <w:rFonts w:ascii="Helvetica" w:hAnsi="Helvetica"/>
            <w:color w:val="008CDD"/>
            <w:sz w:val="23"/>
            <w:szCs w:val="23"/>
          </w:rPr>
          <w:t>Durable Power of Attorney</w:t>
        </w:r>
      </w:hyperlink>
      <w:r>
        <w:rPr>
          <w:rFonts w:ascii="Helvetica" w:hAnsi="Helvetica"/>
          <w:color w:val="252525"/>
          <w:sz w:val="23"/>
          <w:szCs w:val="23"/>
        </w:rPr>
        <w:t> – Gives a person the Power of Attorney to execute legal instruments and make financial decisions on behalf of the Principal.</w:t>
      </w:r>
    </w:p>
    <w:p w14:paraId="03F9C041" w14:textId="77777777" w:rsidR="004B3EB5" w:rsidRDefault="004B3EB5" w:rsidP="004B3EB5">
      <w:pPr>
        <w:numPr>
          <w:ilvl w:val="0"/>
          <w:numId w:val="29"/>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Style w:val="Strong"/>
          <w:rFonts w:ascii="Helvetica" w:eastAsia="Times New Roman" w:hAnsi="Helvetica"/>
          <w:color w:val="252525"/>
          <w:sz w:val="23"/>
          <w:szCs w:val="23"/>
        </w:rPr>
        <w:t>Signing Requirements</w:t>
      </w:r>
      <w:r>
        <w:rPr>
          <w:rFonts w:ascii="Helvetica" w:eastAsia="Times New Roman" w:hAnsi="Helvetica"/>
          <w:color w:val="252525"/>
          <w:sz w:val="23"/>
          <w:szCs w:val="23"/>
        </w:rPr>
        <w:t> (</w:t>
      </w:r>
      <w:hyperlink r:id="rId10" w:tgtFrame="_blank" w:history="1">
        <w:r>
          <w:rPr>
            <w:rStyle w:val="Hyperlink"/>
            <w:rFonts w:ascii="Helvetica" w:eastAsia="Times New Roman" w:hAnsi="Helvetica"/>
            <w:color w:val="008CDD"/>
            <w:sz w:val="23"/>
            <w:szCs w:val="23"/>
          </w:rPr>
          <w:t>§ 633B.105</w:t>
        </w:r>
      </w:hyperlink>
      <w:r>
        <w:rPr>
          <w:rFonts w:ascii="Helvetica" w:eastAsia="Times New Roman" w:hAnsi="Helvetica"/>
          <w:color w:val="252525"/>
          <w:sz w:val="23"/>
          <w:szCs w:val="23"/>
        </w:rPr>
        <w:t>) – Must be signed by the Principal or signed by another individual (cannot be the Agent) who has been directed to do so by the Principal in the Principal’s conscious presence and acknowledged by a Notary Public.</w:t>
      </w:r>
    </w:p>
    <w:p w14:paraId="1F51263A" w14:textId="77777777" w:rsidR="004B3EB5" w:rsidRDefault="004B3EB5" w:rsidP="004B3EB5">
      <w:pPr>
        <w:pStyle w:val="NormalWeb"/>
        <w:shd w:val="clear" w:color="auto" w:fill="FFFFFF"/>
        <w:spacing w:before="0" w:beforeAutospacing="0" w:after="240" w:afterAutospacing="0"/>
        <w:rPr>
          <w:rFonts w:ascii="Helvetica" w:eastAsiaTheme="minorHAnsi" w:hAnsi="Helvetica"/>
          <w:color w:val="252525"/>
          <w:sz w:val="23"/>
          <w:szCs w:val="23"/>
        </w:rPr>
      </w:pPr>
      <w:r>
        <w:rPr>
          <w:rStyle w:val="Strong"/>
          <w:rFonts w:ascii="Helvetica" w:hAnsi="Helvetica"/>
          <w:color w:val="252525"/>
          <w:sz w:val="23"/>
          <w:szCs w:val="23"/>
        </w:rPr>
        <w:t>Financial Powers Allowed:</w:t>
      </w:r>
    </w:p>
    <w:p w14:paraId="073443C9" w14:textId="77777777" w:rsidR="004B3EB5" w:rsidRDefault="004B3EB5" w:rsidP="004B3EB5">
      <w:pPr>
        <w:numPr>
          <w:ilvl w:val="0"/>
          <w:numId w:val="30"/>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Real Property;</w:t>
      </w:r>
    </w:p>
    <w:p w14:paraId="7B1918C8" w14:textId="77777777" w:rsidR="004B3EB5" w:rsidRDefault="004B3EB5" w:rsidP="004B3EB5">
      <w:pPr>
        <w:numPr>
          <w:ilvl w:val="0"/>
          <w:numId w:val="30"/>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Tangible Personal Property;</w:t>
      </w:r>
    </w:p>
    <w:p w14:paraId="0CD8BBA7" w14:textId="77777777" w:rsidR="004B3EB5" w:rsidRDefault="004B3EB5" w:rsidP="004B3EB5">
      <w:pPr>
        <w:numPr>
          <w:ilvl w:val="0"/>
          <w:numId w:val="30"/>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Stocks and Bonds;</w:t>
      </w:r>
    </w:p>
    <w:p w14:paraId="71A3A70B" w14:textId="77777777" w:rsidR="004B3EB5" w:rsidRDefault="004B3EB5" w:rsidP="004B3EB5">
      <w:pPr>
        <w:numPr>
          <w:ilvl w:val="0"/>
          <w:numId w:val="30"/>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Commodities and Options;</w:t>
      </w:r>
    </w:p>
    <w:p w14:paraId="2E4C45BC" w14:textId="77777777" w:rsidR="004B3EB5" w:rsidRDefault="004B3EB5" w:rsidP="004B3EB5">
      <w:pPr>
        <w:numPr>
          <w:ilvl w:val="0"/>
          <w:numId w:val="30"/>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Banks and Other Financial Institutions;</w:t>
      </w:r>
    </w:p>
    <w:p w14:paraId="3F1C1723" w14:textId="77777777" w:rsidR="004B3EB5" w:rsidRDefault="004B3EB5" w:rsidP="004B3EB5">
      <w:pPr>
        <w:numPr>
          <w:ilvl w:val="0"/>
          <w:numId w:val="30"/>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Operation of Entity or Business;</w:t>
      </w:r>
    </w:p>
    <w:p w14:paraId="33B06B63" w14:textId="77777777" w:rsidR="004B3EB5" w:rsidRDefault="004B3EB5" w:rsidP="004B3EB5">
      <w:pPr>
        <w:numPr>
          <w:ilvl w:val="0"/>
          <w:numId w:val="30"/>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Insurance and Annuities;</w:t>
      </w:r>
    </w:p>
    <w:p w14:paraId="12148E5C" w14:textId="77777777" w:rsidR="004B3EB5" w:rsidRDefault="004B3EB5" w:rsidP="004B3EB5">
      <w:pPr>
        <w:numPr>
          <w:ilvl w:val="0"/>
          <w:numId w:val="30"/>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lastRenderedPageBreak/>
        <w:t>Estates, Trusts, and Other Beneficial Interests;</w:t>
      </w:r>
    </w:p>
    <w:p w14:paraId="39A60749" w14:textId="77777777" w:rsidR="004B3EB5" w:rsidRDefault="004B3EB5" w:rsidP="004B3EB5">
      <w:pPr>
        <w:numPr>
          <w:ilvl w:val="0"/>
          <w:numId w:val="30"/>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Claims and Litigation;</w:t>
      </w:r>
    </w:p>
    <w:p w14:paraId="31724746" w14:textId="77777777" w:rsidR="004B3EB5" w:rsidRDefault="004B3EB5" w:rsidP="004B3EB5">
      <w:pPr>
        <w:numPr>
          <w:ilvl w:val="0"/>
          <w:numId w:val="30"/>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Personal and Family Maintenance;</w:t>
      </w:r>
    </w:p>
    <w:p w14:paraId="08251469" w14:textId="77777777" w:rsidR="004B3EB5" w:rsidRDefault="004B3EB5" w:rsidP="004B3EB5">
      <w:pPr>
        <w:numPr>
          <w:ilvl w:val="0"/>
          <w:numId w:val="30"/>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Benefits from Governmental Programs or Civil or Military Service;</w:t>
      </w:r>
    </w:p>
    <w:p w14:paraId="118CBAAB" w14:textId="77777777" w:rsidR="004B3EB5" w:rsidRDefault="004B3EB5" w:rsidP="004B3EB5">
      <w:pPr>
        <w:numPr>
          <w:ilvl w:val="0"/>
          <w:numId w:val="30"/>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Retirement Plans;</w:t>
      </w:r>
    </w:p>
    <w:p w14:paraId="5EE1E046" w14:textId="77777777" w:rsidR="004B3EB5" w:rsidRDefault="004B3EB5" w:rsidP="004B3EB5">
      <w:pPr>
        <w:numPr>
          <w:ilvl w:val="0"/>
          <w:numId w:val="30"/>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Taxes;</w:t>
      </w:r>
    </w:p>
    <w:p w14:paraId="1A65D970" w14:textId="77777777" w:rsidR="004B3EB5" w:rsidRDefault="004B3EB5" w:rsidP="004B3EB5">
      <w:pPr>
        <w:numPr>
          <w:ilvl w:val="0"/>
          <w:numId w:val="30"/>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 xml:space="preserve">Amend, revoke, or terminate a revocable inter </w:t>
      </w:r>
      <w:proofErr w:type="spellStart"/>
      <w:r>
        <w:rPr>
          <w:rFonts w:ascii="Helvetica" w:eastAsia="Times New Roman" w:hAnsi="Helvetica"/>
          <w:color w:val="252525"/>
          <w:sz w:val="23"/>
          <w:szCs w:val="23"/>
        </w:rPr>
        <w:t>vivos</w:t>
      </w:r>
      <w:proofErr w:type="spellEnd"/>
      <w:r>
        <w:rPr>
          <w:rFonts w:ascii="Helvetica" w:eastAsia="Times New Roman" w:hAnsi="Helvetica"/>
          <w:color w:val="252525"/>
          <w:sz w:val="23"/>
          <w:szCs w:val="23"/>
        </w:rPr>
        <w:t xml:space="preserve"> trust, if authorized by the trust;</w:t>
      </w:r>
    </w:p>
    <w:p w14:paraId="505368C4" w14:textId="77777777" w:rsidR="004B3EB5" w:rsidRDefault="004B3EB5" w:rsidP="004B3EB5">
      <w:pPr>
        <w:numPr>
          <w:ilvl w:val="0"/>
          <w:numId w:val="30"/>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 xml:space="preserve">Agree to the amendment or termination of any other inter </w:t>
      </w:r>
      <w:proofErr w:type="spellStart"/>
      <w:r>
        <w:rPr>
          <w:rFonts w:ascii="Helvetica" w:eastAsia="Times New Roman" w:hAnsi="Helvetica"/>
          <w:color w:val="252525"/>
          <w:sz w:val="23"/>
          <w:szCs w:val="23"/>
        </w:rPr>
        <w:t>vivos</w:t>
      </w:r>
      <w:proofErr w:type="spellEnd"/>
      <w:r>
        <w:rPr>
          <w:rFonts w:ascii="Helvetica" w:eastAsia="Times New Roman" w:hAnsi="Helvetica"/>
          <w:color w:val="252525"/>
          <w:sz w:val="23"/>
          <w:szCs w:val="23"/>
        </w:rPr>
        <w:t xml:space="preserve"> trust;</w:t>
      </w:r>
    </w:p>
    <w:p w14:paraId="2AE70132" w14:textId="77777777" w:rsidR="004B3EB5" w:rsidRDefault="004B3EB5" w:rsidP="004B3EB5">
      <w:pPr>
        <w:numPr>
          <w:ilvl w:val="0"/>
          <w:numId w:val="30"/>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Make a gift to an individual who is not an agent, subject to the limitations of the Iowa Uniform Power of Attorney Act, Iowa Code section 633B.217, and any special instructions in this power of attorney.</w:t>
      </w:r>
    </w:p>
    <w:p w14:paraId="7B259468" w14:textId="77777777" w:rsidR="004B3EB5" w:rsidRDefault="004B3EB5" w:rsidP="004B3EB5">
      <w:pPr>
        <w:pStyle w:val="Heading3"/>
        <w:shd w:val="clear" w:color="auto" w:fill="FFFFFF"/>
        <w:spacing w:before="240" w:beforeAutospacing="0" w:after="48" w:afterAutospacing="0" w:line="360" w:lineRule="atLeast"/>
        <w:rPr>
          <w:rFonts w:ascii="Helvetica" w:hAnsi="Helvetica"/>
          <w:b w:val="0"/>
          <w:bCs w:val="0"/>
          <w:color w:val="252525"/>
          <w:sz w:val="28"/>
          <w:szCs w:val="28"/>
        </w:rPr>
      </w:pPr>
      <w:r>
        <w:rPr>
          <w:rStyle w:val="Strong"/>
          <w:rFonts w:ascii="Helvetica" w:hAnsi="Helvetica"/>
          <w:b/>
          <w:bCs/>
          <w:color w:val="252525"/>
          <w:sz w:val="28"/>
          <w:szCs w:val="28"/>
        </w:rPr>
        <w:t>Step 3 – Make a List of All Estate Items</w:t>
      </w:r>
    </w:p>
    <w:p w14:paraId="6BBB514A" w14:textId="77777777" w:rsidR="004B3EB5" w:rsidRDefault="004B3EB5" w:rsidP="004B3EB5">
      <w:pPr>
        <w:pStyle w:val="NormalWeb"/>
        <w:shd w:val="clear" w:color="auto" w:fill="FFFFFF"/>
        <w:spacing w:before="0" w:beforeAutospacing="0" w:after="240" w:afterAutospacing="0"/>
        <w:rPr>
          <w:rFonts w:ascii="Helvetica" w:eastAsiaTheme="minorHAnsi" w:hAnsi="Helvetica"/>
          <w:color w:val="252525"/>
          <w:sz w:val="23"/>
          <w:szCs w:val="23"/>
        </w:rPr>
      </w:pPr>
      <w:r>
        <w:rPr>
          <w:rFonts w:ascii="Helvetica" w:hAnsi="Helvetica"/>
          <w:color w:val="252525"/>
          <w:sz w:val="23"/>
          <w:szCs w:val="23"/>
        </w:rPr>
        <w:t>Making a complete </w:t>
      </w:r>
      <w:hyperlink r:id="rId11" w:history="1">
        <w:r>
          <w:rPr>
            <w:rStyle w:val="Hyperlink"/>
            <w:rFonts w:ascii="Helvetica" w:hAnsi="Helvetica"/>
            <w:color w:val="008CDD"/>
            <w:sz w:val="23"/>
            <w:szCs w:val="23"/>
          </w:rPr>
          <w:t>Current Assets List</w:t>
        </w:r>
      </w:hyperlink>
      <w:r>
        <w:rPr>
          <w:rFonts w:ascii="Helvetica" w:hAnsi="Helvetica"/>
          <w:color w:val="252525"/>
          <w:sz w:val="23"/>
          <w:szCs w:val="23"/>
        </w:rPr>
        <w:t xml:space="preserve"> is the first step of preparing the administration of an individual’s estate. They should include </w:t>
      </w:r>
      <w:proofErr w:type="gramStart"/>
      <w:r>
        <w:rPr>
          <w:rFonts w:ascii="Helvetica" w:hAnsi="Helvetica"/>
          <w:color w:val="252525"/>
          <w:sz w:val="23"/>
          <w:szCs w:val="23"/>
        </w:rPr>
        <w:t>all of</w:t>
      </w:r>
      <w:proofErr w:type="gramEnd"/>
      <w:r>
        <w:rPr>
          <w:rFonts w:ascii="Helvetica" w:hAnsi="Helvetica"/>
          <w:color w:val="252525"/>
          <w:sz w:val="23"/>
          <w:szCs w:val="23"/>
        </w:rPr>
        <w:t xml:space="preserve"> their financial holdings, bank accounts, personal property, businesses, and real estate on the list. Creating a comprehensive list will make it easier to decide how to divide their property amongst their Beneficiaries.</w:t>
      </w:r>
    </w:p>
    <w:p w14:paraId="0C2A794D" w14:textId="77777777" w:rsidR="004B3EB5" w:rsidRDefault="004B3EB5" w:rsidP="004B3EB5">
      <w:pPr>
        <w:pStyle w:val="Heading3"/>
        <w:shd w:val="clear" w:color="auto" w:fill="FFFFFF"/>
        <w:spacing w:before="240" w:beforeAutospacing="0" w:after="48" w:afterAutospacing="0" w:line="360" w:lineRule="atLeast"/>
        <w:rPr>
          <w:rFonts w:ascii="Helvetica" w:hAnsi="Helvetica"/>
          <w:b w:val="0"/>
          <w:bCs w:val="0"/>
          <w:color w:val="252525"/>
          <w:sz w:val="28"/>
          <w:szCs w:val="28"/>
        </w:rPr>
      </w:pPr>
      <w:r>
        <w:rPr>
          <w:rStyle w:val="Strong"/>
          <w:rFonts w:ascii="Helvetica" w:hAnsi="Helvetica"/>
          <w:b/>
          <w:bCs/>
          <w:color w:val="252525"/>
          <w:sz w:val="28"/>
          <w:szCs w:val="28"/>
        </w:rPr>
        <w:t>Step 4 – Designate Beneficiaries</w:t>
      </w:r>
    </w:p>
    <w:p w14:paraId="547C245C" w14:textId="77777777" w:rsidR="004B3EB5" w:rsidRDefault="004B3EB5" w:rsidP="004B3EB5">
      <w:pPr>
        <w:pStyle w:val="NormalWeb"/>
        <w:shd w:val="clear" w:color="auto" w:fill="FFFFFF"/>
        <w:spacing w:before="0" w:beforeAutospacing="0" w:after="240" w:afterAutospacing="0"/>
        <w:rPr>
          <w:rFonts w:ascii="Helvetica" w:eastAsiaTheme="minorHAnsi" w:hAnsi="Helvetica"/>
          <w:color w:val="252525"/>
          <w:sz w:val="23"/>
          <w:szCs w:val="23"/>
        </w:rPr>
      </w:pPr>
      <w:r>
        <w:rPr>
          <w:rFonts w:ascii="Helvetica" w:hAnsi="Helvetica"/>
          <w:color w:val="252525"/>
          <w:sz w:val="23"/>
          <w:szCs w:val="23"/>
        </w:rPr>
        <w:t>Now that the individual has completed their Current Assets List, they will need to decide who their Beneficiaries will be and how their property will be distributed between the Beneficiaries. When making these decisions, it will be pertinent for the individual to contact their Beneficiaries to inform them that they will be named in the individual’s Will or Trust.</w:t>
      </w:r>
    </w:p>
    <w:p w14:paraId="398BCFC3" w14:textId="77777777" w:rsidR="004B3EB5" w:rsidRDefault="004B3EB5" w:rsidP="004B3EB5">
      <w:pPr>
        <w:pStyle w:val="Heading3"/>
        <w:shd w:val="clear" w:color="auto" w:fill="FFFFFF"/>
        <w:spacing w:before="240" w:beforeAutospacing="0" w:after="48" w:afterAutospacing="0" w:line="360" w:lineRule="atLeast"/>
        <w:rPr>
          <w:rFonts w:ascii="Helvetica" w:hAnsi="Helvetica"/>
          <w:b w:val="0"/>
          <w:bCs w:val="0"/>
          <w:color w:val="252525"/>
          <w:sz w:val="28"/>
          <w:szCs w:val="28"/>
        </w:rPr>
      </w:pPr>
      <w:r>
        <w:rPr>
          <w:rStyle w:val="Strong"/>
          <w:rFonts w:ascii="Helvetica" w:hAnsi="Helvetica"/>
          <w:b/>
          <w:bCs/>
          <w:color w:val="252525"/>
          <w:sz w:val="28"/>
          <w:szCs w:val="28"/>
        </w:rPr>
        <w:t>Step 5 – Decide How to Transfer the Estate</w:t>
      </w:r>
    </w:p>
    <w:p w14:paraId="43AE4CB9" w14:textId="77777777" w:rsidR="004B3EB5" w:rsidRDefault="004B3EB5" w:rsidP="004B3EB5">
      <w:pPr>
        <w:pStyle w:val="NormalWeb"/>
        <w:shd w:val="clear" w:color="auto" w:fill="FFFFFF"/>
        <w:spacing w:before="0" w:beforeAutospacing="0" w:after="240" w:afterAutospacing="0"/>
        <w:rPr>
          <w:rFonts w:ascii="Helvetica" w:eastAsiaTheme="minorHAnsi" w:hAnsi="Helvetica"/>
          <w:color w:val="252525"/>
          <w:sz w:val="23"/>
          <w:szCs w:val="23"/>
        </w:rPr>
      </w:pPr>
      <w:r>
        <w:rPr>
          <w:rFonts w:ascii="Helvetica" w:hAnsi="Helvetica"/>
          <w:color w:val="252525"/>
          <w:sz w:val="23"/>
          <w:szCs w:val="23"/>
        </w:rPr>
        <w:t>Once the Principal has decided how their estate will be divided and who their Beneficiaries are, they must execute a legal instrument that subscribes to State law regarding the administration of residents’ estates. The </w:t>
      </w:r>
      <w:r>
        <w:rPr>
          <w:rStyle w:val="Strong"/>
          <w:rFonts w:ascii="Helvetica" w:hAnsi="Helvetica"/>
          <w:color w:val="252525"/>
          <w:sz w:val="23"/>
          <w:szCs w:val="23"/>
        </w:rPr>
        <w:t>two (2) options </w:t>
      </w:r>
      <w:r>
        <w:rPr>
          <w:rFonts w:ascii="Helvetica" w:hAnsi="Helvetica"/>
          <w:color w:val="252525"/>
          <w:sz w:val="23"/>
          <w:szCs w:val="23"/>
        </w:rPr>
        <w:t>that are most commonly employed for this purpose are the Last Will and Testament, and the Revocable Living Trust.</w:t>
      </w:r>
    </w:p>
    <w:p w14:paraId="10C229BB" w14:textId="77777777" w:rsidR="004B3EB5" w:rsidRDefault="004B3EB5" w:rsidP="004B3EB5">
      <w:pPr>
        <w:pStyle w:val="NormalWeb"/>
        <w:shd w:val="clear" w:color="auto" w:fill="FFFFFF"/>
        <w:spacing w:before="0" w:beforeAutospacing="0" w:after="240" w:afterAutospacing="0"/>
        <w:rPr>
          <w:rFonts w:ascii="Helvetica" w:hAnsi="Helvetica"/>
          <w:color w:val="252525"/>
          <w:sz w:val="23"/>
          <w:szCs w:val="23"/>
        </w:rPr>
      </w:pPr>
      <w:r>
        <w:rPr>
          <w:rFonts w:ascii="Helvetica" w:hAnsi="Helvetica"/>
          <w:color w:val="252525"/>
          <w:sz w:val="23"/>
          <w:szCs w:val="23"/>
        </w:rPr>
        <w:t>A </w:t>
      </w:r>
      <w:hyperlink r:id="rId12" w:history="1">
        <w:r>
          <w:rPr>
            <w:rStyle w:val="Hyperlink"/>
            <w:rFonts w:ascii="Helvetica" w:hAnsi="Helvetica"/>
            <w:color w:val="008CDD"/>
            <w:sz w:val="23"/>
            <w:szCs w:val="23"/>
          </w:rPr>
          <w:t>Last Will and Testament (‘Will’)</w:t>
        </w:r>
      </w:hyperlink>
      <w:r>
        <w:rPr>
          <w:rFonts w:ascii="Helvetica" w:hAnsi="Helvetica"/>
          <w:color w:val="252525"/>
          <w:sz w:val="23"/>
          <w:szCs w:val="23"/>
        </w:rPr>
        <w:t>, which provides instructions on how the principal wants their estate to be divided. When the Principal dies, the Will must go through probate court to be “proved” before their estate can be divided amongst the Beneficiaries.</w:t>
      </w:r>
    </w:p>
    <w:p w14:paraId="03C79A38" w14:textId="77777777" w:rsidR="004B3EB5" w:rsidRDefault="004B3EB5" w:rsidP="004B3EB5">
      <w:pPr>
        <w:pStyle w:val="NormalWeb"/>
        <w:shd w:val="clear" w:color="auto" w:fill="FFFFFF"/>
        <w:spacing w:before="0" w:beforeAutospacing="0" w:after="240" w:afterAutospacing="0"/>
        <w:rPr>
          <w:rFonts w:ascii="Helvetica" w:hAnsi="Helvetica"/>
          <w:color w:val="252525"/>
          <w:sz w:val="23"/>
          <w:szCs w:val="23"/>
        </w:rPr>
      </w:pPr>
      <w:r>
        <w:rPr>
          <w:rStyle w:val="Strong"/>
          <w:rFonts w:ascii="Helvetica" w:hAnsi="Helvetica"/>
          <w:color w:val="252525"/>
          <w:sz w:val="23"/>
          <w:szCs w:val="23"/>
        </w:rPr>
        <w:t>Signing Requirements</w:t>
      </w:r>
      <w:r>
        <w:rPr>
          <w:rFonts w:ascii="Helvetica" w:hAnsi="Helvetica"/>
          <w:color w:val="252525"/>
          <w:sz w:val="23"/>
          <w:szCs w:val="23"/>
        </w:rPr>
        <w:t> (</w:t>
      </w:r>
      <w:hyperlink r:id="rId13" w:tgtFrame="_blank" w:history="1">
        <w:r>
          <w:rPr>
            <w:rStyle w:val="Hyperlink"/>
            <w:rFonts w:ascii="Helvetica" w:hAnsi="Helvetica"/>
            <w:color w:val="008CDD"/>
            <w:sz w:val="23"/>
            <w:szCs w:val="23"/>
          </w:rPr>
          <w:t>§ 633.279</w:t>
        </w:r>
      </w:hyperlink>
      <w:r>
        <w:rPr>
          <w:rFonts w:ascii="Helvetica" w:hAnsi="Helvetica"/>
          <w:color w:val="252525"/>
          <w:sz w:val="23"/>
          <w:szCs w:val="23"/>
        </w:rPr>
        <w:t>) – Required to be signed by the Principal with at least two (2) Witnesses (who must also sign).</w:t>
      </w:r>
    </w:p>
    <w:p w14:paraId="1B73FB10" w14:textId="77777777" w:rsidR="004B3EB5" w:rsidRDefault="004B3EB5" w:rsidP="004B3EB5">
      <w:pPr>
        <w:pStyle w:val="NormalWeb"/>
        <w:shd w:val="clear" w:color="auto" w:fill="FFFFFF"/>
        <w:spacing w:before="0" w:beforeAutospacing="0" w:after="240" w:afterAutospacing="0"/>
        <w:rPr>
          <w:rFonts w:ascii="Helvetica" w:hAnsi="Helvetica"/>
          <w:color w:val="252525"/>
          <w:sz w:val="23"/>
          <w:szCs w:val="23"/>
        </w:rPr>
      </w:pPr>
      <w:r>
        <w:rPr>
          <w:rFonts w:ascii="Helvetica" w:hAnsi="Helvetica"/>
          <w:color w:val="252525"/>
          <w:sz w:val="23"/>
          <w:szCs w:val="23"/>
        </w:rPr>
        <w:t>A </w:t>
      </w:r>
      <w:hyperlink r:id="rId14" w:history="1">
        <w:r>
          <w:rPr>
            <w:rStyle w:val="Hyperlink"/>
            <w:rFonts w:ascii="Helvetica" w:hAnsi="Helvetica"/>
            <w:color w:val="008CDD"/>
            <w:sz w:val="23"/>
            <w:szCs w:val="23"/>
          </w:rPr>
          <w:t>Revocable Living Trust</w:t>
        </w:r>
      </w:hyperlink>
      <w:r>
        <w:rPr>
          <w:rFonts w:ascii="Helvetica" w:hAnsi="Helvetica"/>
          <w:color w:val="252525"/>
          <w:sz w:val="23"/>
          <w:szCs w:val="23"/>
        </w:rPr>
        <w:t> is different from a Will in two (2) notable ways. Firstly, the property is placed into a Trust during the Principal’s lifetime. Secondly, all the property placed within the Trust will be distributed without going through probate, thus making this a more convenient option for the Beneficiaries.</w:t>
      </w:r>
    </w:p>
    <w:p w14:paraId="4B734870" w14:textId="77777777" w:rsidR="004B3EB5" w:rsidRDefault="004B3EB5" w:rsidP="004B3EB5">
      <w:pPr>
        <w:pStyle w:val="NormalWeb"/>
        <w:shd w:val="clear" w:color="auto" w:fill="FFFFFF"/>
        <w:spacing w:before="0" w:beforeAutospacing="0" w:after="240" w:afterAutospacing="0"/>
        <w:rPr>
          <w:rFonts w:ascii="Helvetica" w:hAnsi="Helvetica"/>
          <w:color w:val="252525"/>
          <w:sz w:val="23"/>
          <w:szCs w:val="23"/>
        </w:rPr>
      </w:pPr>
      <w:r>
        <w:rPr>
          <w:rStyle w:val="Strong"/>
          <w:rFonts w:ascii="Helvetica" w:hAnsi="Helvetica"/>
          <w:color w:val="252525"/>
          <w:sz w:val="23"/>
          <w:szCs w:val="23"/>
        </w:rPr>
        <w:t>Signing Requirements</w:t>
      </w:r>
      <w:r>
        <w:rPr>
          <w:rFonts w:ascii="Helvetica" w:hAnsi="Helvetica"/>
          <w:color w:val="252525"/>
          <w:sz w:val="23"/>
          <w:szCs w:val="23"/>
        </w:rPr>
        <w:t> (No statutes) – Should be signed by all parties in the presence of a Notary Public.</w:t>
      </w:r>
    </w:p>
    <w:p w14:paraId="20AED04C" w14:textId="77777777" w:rsidR="004B3EB5" w:rsidRDefault="004B3EB5" w:rsidP="004B3EB5">
      <w:pPr>
        <w:pStyle w:val="Heading3"/>
        <w:shd w:val="clear" w:color="auto" w:fill="FFFFFF"/>
        <w:spacing w:before="240" w:beforeAutospacing="0" w:after="48" w:afterAutospacing="0" w:line="360" w:lineRule="atLeast"/>
        <w:rPr>
          <w:rFonts w:ascii="Helvetica" w:hAnsi="Helvetica"/>
          <w:b w:val="0"/>
          <w:bCs w:val="0"/>
          <w:color w:val="252525"/>
          <w:sz w:val="28"/>
          <w:szCs w:val="28"/>
        </w:rPr>
      </w:pPr>
      <w:r>
        <w:rPr>
          <w:rStyle w:val="Strong"/>
          <w:rFonts w:ascii="Helvetica" w:hAnsi="Helvetica"/>
          <w:b/>
          <w:bCs/>
          <w:color w:val="252525"/>
          <w:sz w:val="28"/>
          <w:szCs w:val="28"/>
        </w:rPr>
        <w:lastRenderedPageBreak/>
        <w:t>Step 6 – Keep the Documents Safe</w:t>
      </w:r>
    </w:p>
    <w:p w14:paraId="6D79C4C1" w14:textId="77777777" w:rsidR="004B3EB5" w:rsidRDefault="004B3EB5" w:rsidP="004B3EB5">
      <w:pPr>
        <w:pStyle w:val="NormalWeb"/>
        <w:shd w:val="clear" w:color="auto" w:fill="FFFFFF"/>
        <w:spacing w:before="0" w:beforeAutospacing="0" w:after="240" w:afterAutospacing="0"/>
        <w:rPr>
          <w:rFonts w:ascii="Helvetica" w:eastAsiaTheme="minorHAnsi" w:hAnsi="Helvetica"/>
          <w:color w:val="252525"/>
          <w:sz w:val="23"/>
          <w:szCs w:val="23"/>
        </w:rPr>
      </w:pPr>
      <w:r>
        <w:rPr>
          <w:rFonts w:ascii="Helvetica" w:hAnsi="Helvetica"/>
          <w:color w:val="252525"/>
          <w:sz w:val="23"/>
          <w:szCs w:val="23"/>
        </w:rPr>
        <w:t xml:space="preserve">To ensure that </w:t>
      </w:r>
      <w:proofErr w:type="gramStart"/>
      <w:r>
        <w:rPr>
          <w:rFonts w:ascii="Helvetica" w:hAnsi="Helvetica"/>
          <w:color w:val="252525"/>
          <w:sz w:val="23"/>
          <w:szCs w:val="23"/>
        </w:rPr>
        <w:t>all of</w:t>
      </w:r>
      <w:proofErr w:type="gramEnd"/>
      <w:r>
        <w:rPr>
          <w:rFonts w:ascii="Helvetica" w:hAnsi="Helvetica"/>
          <w:color w:val="252525"/>
          <w:sz w:val="23"/>
          <w:szCs w:val="23"/>
        </w:rPr>
        <w:t xml:space="preserve"> the Principal’s instructions and wishes are carried out, it is essential that both originals and copies of the various legal instruments be stored in a safe and secure location. If an instrument cannot be proved in court, the Principal’s estate may not be divided according to their instructions. Ideally, </w:t>
      </w:r>
      <w:proofErr w:type="gramStart"/>
      <w:r>
        <w:rPr>
          <w:rFonts w:ascii="Helvetica" w:hAnsi="Helvetica"/>
          <w:color w:val="252525"/>
          <w:sz w:val="23"/>
          <w:szCs w:val="23"/>
        </w:rPr>
        <w:t>all of</w:t>
      </w:r>
      <w:proofErr w:type="gramEnd"/>
      <w:r>
        <w:rPr>
          <w:rFonts w:ascii="Helvetica" w:hAnsi="Helvetica"/>
          <w:color w:val="252525"/>
          <w:sz w:val="23"/>
          <w:szCs w:val="23"/>
        </w:rPr>
        <w:t xml:space="preserve"> the Principal’s Agents, Attorneys, Attorney-in-Facts, Trustees, and Representatives named within the instruments should be given copies (or the original versions) of the documents for safekeeping.</w:t>
      </w:r>
    </w:p>
    <w:p w14:paraId="737E1573" w14:textId="77777777" w:rsidR="004B3EB5" w:rsidRDefault="004B3EB5" w:rsidP="004B3EB5">
      <w:pPr>
        <w:pStyle w:val="Heading1"/>
        <w:shd w:val="clear" w:color="auto" w:fill="FFFFFF"/>
        <w:spacing w:before="240" w:beforeAutospacing="0" w:after="48" w:afterAutospacing="0" w:line="360" w:lineRule="atLeast"/>
        <w:rPr>
          <w:rFonts w:ascii="Helvetica" w:hAnsi="Helvetica"/>
          <w:b w:val="0"/>
          <w:bCs w:val="0"/>
          <w:color w:val="252525"/>
        </w:rPr>
      </w:pPr>
      <w:r>
        <w:rPr>
          <w:rFonts w:ascii="Helvetica" w:hAnsi="Helvetica"/>
          <w:b w:val="0"/>
          <w:bCs w:val="0"/>
          <w:color w:val="252525"/>
        </w:rPr>
        <w:t>Iowa Estate Planning Laws</w:t>
      </w:r>
    </w:p>
    <w:p w14:paraId="4709C800" w14:textId="77777777" w:rsidR="004B3EB5" w:rsidRDefault="004B3EB5" w:rsidP="004B3EB5">
      <w:pPr>
        <w:pStyle w:val="NormalWeb"/>
        <w:shd w:val="clear" w:color="auto" w:fill="FFFFFF"/>
        <w:spacing w:before="0" w:beforeAutospacing="0" w:after="240" w:afterAutospacing="0"/>
        <w:rPr>
          <w:rFonts w:ascii="Helvetica" w:eastAsiaTheme="minorHAnsi" w:hAnsi="Helvetica"/>
          <w:color w:val="252525"/>
          <w:sz w:val="23"/>
          <w:szCs w:val="23"/>
        </w:rPr>
      </w:pPr>
      <w:r>
        <w:rPr>
          <w:rStyle w:val="Strong"/>
          <w:rFonts w:ascii="Helvetica" w:hAnsi="Helvetica"/>
          <w:color w:val="252525"/>
          <w:sz w:val="23"/>
          <w:szCs w:val="23"/>
        </w:rPr>
        <w:t>Advance Health Care Directive</w:t>
      </w:r>
      <w:r>
        <w:rPr>
          <w:rFonts w:ascii="Helvetica" w:hAnsi="Helvetica"/>
          <w:color w:val="252525"/>
          <w:sz w:val="23"/>
          <w:szCs w:val="23"/>
        </w:rPr>
        <w:t> – </w:t>
      </w:r>
      <w:hyperlink r:id="rId15" w:tgtFrame="_blank" w:history="1">
        <w:r>
          <w:rPr>
            <w:rStyle w:val="Hyperlink"/>
            <w:rFonts w:ascii="Helvetica" w:hAnsi="Helvetica"/>
            <w:color w:val="008CDD"/>
            <w:sz w:val="23"/>
            <w:szCs w:val="23"/>
          </w:rPr>
          <w:t>§ 144B.2</w:t>
        </w:r>
      </w:hyperlink>
      <w:r>
        <w:rPr>
          <w:rFonts w:ascii="Helvetica" w:hAnsi="Helvetica"/>
          <w:color w:val="252525"/>
          <w:sz w:val="23"/>
          <w:szCs w:val="23"/>
        </w:rPr>
        <w:br/>
      </w:r>
      <w:r>
        <w:rPr>
          <w:rStyle w:val="Strong"/>
          <w:rFonts w:ascii="Helvetica" w:hAnsi="Helvetica"/>
          <w:color w:val="252525"/>
          <w:sz w:val="23"/>
          <w:szCs w:val="23"/>
        </w:rPr>
        <w:t>Durable Power of Attorney</w:t>
      </w:r>
      <w:r>
        <w:rPr>
          <w:rFonts w:ascii="Helvetica" w:hAnsi="Helvetica"/>
          <w:color w:val="252525"/>
          <w:sz w:val="23"/>
          <w:szCs w:val="23"/>
        </w:rPr>
        <w:t> – </w:t>
      </w:r>
      <w:hyperlink r:id="rId16" w:tgtFrame="_blank" w:history="1">
        <w:r>
          <w:rPr>
            <w:rStyle w:val="Hyperlink"/>
            <w:rFonts w:ascii="Helvetica" w:hAnsi="Helvetica"/>
            <w:color w:val="008CDD"/>
            <w:sz w:val="23"/>
            <w:szCs w:val="23"/>
          </w:rPr>
          <w:t>§ 633B-301</w:t>
        </w:r>
      </w:hyperlink>
      <w:r>
        <w:rPr>
          <w:rFonts w:ascii="Helvetica" w:hAnsi="Helvetica"/>
          <w:color w:val="252525"/>
          <w:sz w:val="23"/>
          <w:szCs w:val="23"/>
        </w:rPr>
        <w:br/>
      </w:r>
      <w:r>
        <w:rPr>
          <w:rStyle w:val="Strong"/>
          <w:rFonts w:ascii="Helvetica" w:hAnsi="Helvetica"/>
          <w:color w:val="252525"/>
          <w:sz w:val="23"/>
          <w:szCs w:val="23"/>
        </w:rPr>
        <w:t>Last Will and Testament</w:t>
      </w:r>
      <w:r>
        <w:rPr>
          <w:rFonts w:ascii="Helvetica" w:hAnsi="Helvetica"/>
          <w:color w:val="252525"/>
          <w:sz w:val="23"/>
          <w:szCs w:val="23"/>
        </w:rPr>
        <w:t> – </w:t>
      </w:r>
      <w:hyperlink r:id="rId17" w:tgtFrame="_blank" w:history="1">
        <w:r>
          <w:rPr>
            <w:rStyle w:val="Hyperlink"/>
            <w:rFonts w:ascii="Helvetica" w:hAnsi="Helvetica"/>
            <w:color w:val="008CDD"/>
            <w:sz w:val="23"/>
            <w:szCs w:val="23"/>
          </w:rPr>
          <w:t>§ 633.279</w:t>
        </w:r>
      </w:hyperlink>
      <w:r>
        <w:rPr>
          <w:rFonts w:ascii="Helvetica" w:hAnsi="Helvetica"/>
          <w:color w:val="252525"/>
          <w:sz w:val="23"/>
          <w:szCs w:val="23"/>
        </w:rPr>
        <w:br/>
      </w:r>
      <w:r>
        <w:rPr>
          <w:rStyle w:val="Strong"/>
          <w:rFonts w:ascii="Helvetica" w:hAnsi="Helvetica"/>
          <w:color w:val="252525"/>
          <w:sz w:val="23"/>
          <w:szCs w:val="23"/>
        </w:rPr>
        <w:t>Living Trust (Revocable)</w:t>
      </w:r>
      <w:r>
        <w:rPr>
          <w:rFonts w:ascii="Helvetica" w:hAnsi="Helvetica"/>
          <w:color w:val="252525"/>
          <w:sz w:val="23"/>
          <w:szCs w:val="23"/>
        </w:rPr>
        <w:t> – </w:t>
      </w:r>
      <w:hyperlink r:id="rId18" w:tgtFrame="_blank" w:history="1">
        <w:r>
          <w:rPr>
            <w:rStyle w:val="Hyperlink"/>
            <w:rFonts w:ascii="Helvetica" w:hAnsi="Helvetica"/>
            <w:color w:val="008CDD"/>
            <w:sz w:val="23"/>
            <w:szCs w:val="23"/>
          </w:rPr>
          <w:t>§ 633a.2101</w:t>
        </w:r>
      </w:hyperlink>
      <w:bookmarkStart w:id="0" w:name="_GoBack"/>
      <w:bookmarkEnd w:id="0"/>
    </w:p>
    <w:p w14:paraId="0C057759" w14:textId="77777777" w:rsidR="009926B1" w:rsidRDefault="009926B1" w:rsidP="004B3EB5">
      <w:pPr>
        <w:pStyle w:val="NormalWeb"/>
        <w:shd w:val="clear" w:color="auto" w:fill="FFFFFF"/>
        <w:spacing w:before="0" w:beforeAutospacing="0" w:after="240" w:afterAutospacing="0"/>
      </w:pPr>
    </w:p>
    <w:sectPr w:rsidR="009926B1" w:rsidSect="00036D89">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4726F" w14:textId="77777777" w:rsidR="0093356B" w:rsidRDefault="0093356B" w:rsidP="00B06C43">
      <w:r>
        <w:separator/>
      </w:r>
    </w:p>
  </w:endnote>
  <w:endnote w:type="continuationSeparator" w:id="0">
    <w:p w14:paraId="31DCDED5" w14:textId="77777777" w:rsidR="0093356B" w:rsidRDefault="0093356B" w:rsidP="00B0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1CAE0" w14:textId="77777777" w:rsidR="00B06C43" w:rsidRDefault="00B06C43" w:rsidP="00B06C43">
    <w:pPr>
      <w:pStyle w:val="Footer"/>
      <w:tabs>
        <w:tab w:val="clear" w:pos="4680"/>
        <w:tab w:val="clear" w:pos="9360"/>
        <w:tab w:val="left" w:pos="6180"/>
      </w:tabs>
      <w:ind w:right="360"/>
    </w:pPr>
    <w:r>
      <w:rPr>
        <w:noProof/>
        <w:lang w:val="en-US"/>
      </w:rPr>
      <mc:AlternateContent>
        <mc:Choice Requires="wps">
          <w:drawing>
            <wp:anchor distT="0" distB="0" distL="114300" distR="114300" simplePos="0" relativeHeight="251659264" behindDoc="0" locked="0" layoutInCell="1" allowOverlap="1" wp14:anchorId="634A849C" wp14:editId="3CCE4F8E">
              <wp:simplePos x="0" y="0"/>
              <wp:positionH relativeFrom="page">
                <wp:posOffset>5855268</wp:posOffset>
              </wp:positionH>
              <wp:positionV relativeFrom="paragraph">
                <wp:posOffset>81198</wp:posOffset>
              </wp:positionV>
              <wp:extent cx="1231900" cy="14605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900" cy="146050"/>
                      </a:xfrm>
                      <a:prstGeom prst="rect">
                        <a:avLst/>
                      </a:prstGeom>
                      <a:ln>
                        <a:noFill/>
                        <a:prstDash/>
                      </a:ln>
                    </wps:spPr>
                    <wps:txbx>
                      <w:txbxContent>
                        <w:p w14:paraId="42F9A594" w14:textId="77777777" w:rsidR="00B06C43" w:rsidRDefault="00B06C43" w:rsidP="00B06C43">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5063CC">
                            <w:rPr>
                              <w:rStyle w:val="PageNumber"/>
                              <w:rFonts w:ascii="Arial" w:hAnsi="Arial" w:cs="Arial"/>
                              <w:noProof/>
                              <w:sz w:val="20"/>
                              <w:szCs w:val="20"/>
                            </w:rPr>
                            <w:t>2</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sidR="005063CC">
                            <w:rPr>
                              <w:rStyle w:val="PageNumber"/>
                              <w:rFonts w:ascii="Arial" w:hAnsi="Arial" w:cs="Arial"/>
                              <w:noProof/>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lIns="0" tIns="0" rIns="0" bIns="0">
                      <a:spAutoFit/>
                    </wps:bodyPr>
                  </wps:wsp>
                </a:graphicData>
              </a:graphic>
            </wp:anchor>
          </w:drawing>
        </mc:Choice>
        <mc:Fallback>
          <w:pict>
            <v:shapetype w14:anchorId="634A849C" id="_x0000_t202" coordsize="21600,21600" o:spt="202" path="m0,0l0,21600,21600,21600,21600,0xe">
              <v:stroke joinstyle="miter"/>
              <v:path gradientshapeok="t" o:connecttype="rect"/>
            </v:shapetype>
            <v:shape id="Text Box 1" o:spid="_x0000_s1026" type="#_x0000_t202" style="position:absolute;margin-left:461.05pt;margin-top:6.4pt;width:97pt;height:11.5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" filled="f" stroked="f">
              <v:textbox style="mso-fit-shape-to-text:t" inset="0,0,0,0">
                <w:txbxContent>
                  <w:p w14:paraId="42F9A594" w14:textId="77777777" w:rsidR="00B06C43" w:rsidRDefault="00B06C43" w:rsidP="00B06C43">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5063CC">
                      <w:rPr>
                        <w:rStyle w:val="PageNumber"/>
                        <w:rFonts w:ascii="Arial" w:hAnsi="Arial" w:cs="Arial"/>
                        <w:noProof/>
                        <w:sz w:val="20"/>
                        <w:szCs w:val="20"/>
                      </w:rPr>
                      <w:t>2</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sidR="005063CC">
                      <w:rPr>
                        <w:rStyle w:val="PageNumber"/>
                        <w:rFonts w:ascii="Arial" w:hAnsi="Arial" w:cs="Arial"/>
                        <w:noProof/>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lang w:val="en-US"/>
      </w:rPr>
      <w:drawing>
        <wp:inline distT="0" distB="0" distL="0" distR="0" wp14:anchorId="51CED03A" wp14:editId="06173284">
          <wp:extent cx="254002" cy="254002"/>
          <wp:effectExtent l="0" t="0" r="0" b="0"/>
          <wp:docPr id="2"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1169C" w14:textId="77777777" w:rsidR="0093356B" w:rsidRDefault="0093356B" w:rsidP="00B06C43">
      <w:r>
        <w:separator/>
      </w:r>
    </w:p>
  </w:footnote>
  <w:footnote w:type="continuationSeparator" w:id="0">
    <w:p w14:paraId="5ADB69AC" w14:textId="77777777" w:rsidR="0093356B" w:rsidRDefault="0093356B" w:rsidP="00B06C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C3575"/>
    <w:multiLevelType w:val="multilevel"/>
    <w:tmpl w:val="EA2E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D6E03"/>
    <w:multiLevelType w:val="multilevel"/>
    <w:tmpl w:val="6A92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EA0EDC"/>
    <w:multiLevelType w:val="multilevel"/>
    <w:tmpl w:val="7FB4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AE1113"/>
    <w:multiLevelType w:val="multilevel"/>
    <w:tmpl w:val="80B6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E130AE"/>
    <w:multiLevelType w:val="multilevel"/>
    <w:tmpl w:val="9482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EE1E76"/>
    <w:multiLevelType w:val="multilevel"/>
    <w:tmpl w:val="AA6C8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F01EC3"/>
    <w:multiLevelType w:val="multilevel"/>
    <w:tmpl w:val="92DA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CC0986"/>
    <w:multiLevelType w:val="multilevel"/>
    <w:tmpl w:val="F0A46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EA41B4"/>
    <w:multiLevelType w:val="multilevel"/>
    <w:tmpl w:val="8A92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C02347"/>
    <w:multiLevelType w:val="multilevel"/>
    <w:tmpl w:val="1C7E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FD1EB2"/>
    <w:multiLevelType w:val="multilevel"/>
    <w:tmpl w:val="87FE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0F1403"/>
    <w:multiLevelType w:val="multilevel"/>
    <w:tmpl w:val="E154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F92E71"/>
    <w:multiLevelType w:val="multilevel"/>
    <w:tmpl w:val="DA70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9575EB"/>
    <w:multiLevelType w:val="multilevel"/>
    <w:tmpl w:val="F510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ED38B9"/>
    <w:multiLevelType w:val="multilevel"/>
    <w:tmpl w:val="8B84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826952"/>
    <w:multiLevelType w:val="multilevel"/>
    <w:tmpl w:val="92322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DC0200"/>
    <w:multiLevelType w:val="multilevel"/>
    <w:tmpl w:val="D7405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C26A31"/>
    <w:multiLevelType w:val="multilevel"/>
    <w:tmpl w:val="34E81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DA4544"/>
    <w:multiLevelType w:val="multilevel"/>
    <w:tmpl w:val="1B36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DD0D1F"/>
    <w:multiLevelType w:val="multilevel"/>
    <w:tmpl w:val="28AA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2F0EE5"/>
    <w:multiLevelType w:val="multilevel"/>
    <w:tmpl w:val="4CFE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C15CC3"/>
    <w:multiLevelType w:val="multilevel"/>
    <w:tmpl w:val="C740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B03892"/>
    <w:multiLevelType w:val="multilevel"/>
    <w:tmpl w:val="FC8E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771F14"/>
    <w:multiLevelType w:val="multilevel"/>
    <w:tmpl w:val="0CF2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D34AFB"/>
    <w:multiLevelType w:val="multilevel"/>
    <w:tmpl w:val="784A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5F3ED4"/>
    <w:multiLevelType w:val="multilevel"/>
    <w:tmpl w:val="23E2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353A55"/>
    <w:multiLevelType w:val="multilevel"/>
    <w:tmpl w:val="2B06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330670"/>
    <w:multiLevelType w:val="multilevel"/>
    <w:tmpl w:val="6C86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6E4EDC"/>
    <w:multiLevelType w:val="multilevel"/>
    <w:tmpl w:val="21E2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525D71"/>
    <w:multiLevelType w:val="multilevel"/>
    <w:tmpl w:val="1C40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7"/>
  </w:num>
  <w:num w:numId="3">
    <w:abstractNumId w:val="0"/>
  </w:num>
  <w:num w:numId="4">
    <w:abstractNumId w:val="26"/>
  </w:num>
  <w:num w:numId="5">
    <w:abstractNumId w:val="24"/>
  </w:num>
  <w:num w:numId="6">
    <w:abstractNumId w:val="2"/>
  </w:num>
  <w:num w:numId="7">
    <w:abstractNumId w:val="22"/>
  </w:num>
  <w:num w:numId="8">
    <w:abstractNumId w:val="1"/>
  </w:num>
  <w:num w:numId="9">
    <w:abstractNumId w:val="27"/>
  </w:num>
  <w:num w:numId="10">
    <w:abstractNumId w:val="21"/>
  </w:num>
  <w:num w:numId="11">
    <w:abstractNumId w:val="8"/>
  </w:num>
  <w:num w:numId="12">
    <w:abstractNumId w:val="15"/>
  </w:num>
  <w:num w:numId="13">
    <w:abstractNumId w:val="17"/>
  </w:num>
  <w:num w:numId="14">
    <w:abstractNumId w:val="16"/>
  </w:num>
  <w:num w:numId="15">
    <w:abstractNumId w:val="19"/>
  </w:num>
  <w:num w:numId="16">
    <w:abstractNumId w:val="5"/>
  </w:num>
  <w:num w:numId="17">
    <w:abstractNumId w:val="4"/>
  </w:num>
  <w:num w:numId="18">
    <w:abstractNumId w:val="13"/>
  </w:num>
  <w:num w:numId="19">
    <w:abstractNumId w:val="10"/>
  </w:num>
  <w:num w:numId="20">
    <w:abstractNumId w:val="12"/>
  </w:num>
  <w:num w:numId="21">
    <w:abstractNumId w:val="28"/>
  </w:num>
  <w:num w:numId="22">
    <w:abstractNumId w:val="6"/>
  </w:num>
  <w:num w:numId="23">
    <w:abstractNumId w:val="18"/>
  </w:num>
  <w:num w:numId="24">
    <w:abstractNumId w:val="3"/>
  </w:num>
  <w:num w:numId="25">
    <w:abstractNumId w:val="11"/>
  </w:num>
  <w:num w:numId="26">
    <w:abstractNumId w:val="25"/>
  </w:num>
  <w:num w:numId="27">
    <w:abstractNumId w:val="14"/>
  </w:num>
  <w:num w:numId="28">
    <w:abstractNumId w:val="23"/>
  </w:num>
  <w:num w:numId="29">
    <w:abstractNumId w:val="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F0"/>
    <w:rsid w:val="00014BC6"/>
    <w:rsid w:val="00036D89"/>
    <w:rsid w:val="00123F7B"/>
    <w:rsid w:val="002F73F0"/>
    <w:rsid w:val="004B3EB5"/>
    <w:rsid w:val="005063CC"/>
    <w:rsid w:val="005904F4"/>
    <w:rsid w:val="005B2606"/>
    <w:rsid w:val="007B5260"/>
    <w:rsid w:val="0093356B"/>
    <w:rsid w:val="00975C02"/>
    <w:rsid w:val="009926B1"/>
    <w:rsid w:val="00A0359B"/>
    <w:rsid w:val="00B06C43"/>
    <w:rsid w:val="00B43659"/>
    <w:rsid w:val="00B804E7"/>
    <w:rsid w:val="00CA23AE"/>
    <w:rsid w:val="00D1364D"/>
    <w:rsid w:val="00DA74B2"/>
    <w:rsid w:val="00E65DFF"/>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1B82E1E"/>
  <w15:chartTrackingRefBased/>
  <w15:docId w15:val="{65170BB7-7C34-1A4F-8B5B-E3ADA8CD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F73F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F73F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3F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F73F0"/>
    <w:rPr>
      <w:rFonts w:ascii="Times New Roman" w:eastAsia="Times New Roman" w:hAnsi="Times New Roman" w:cs="Times New Roman"/>
      <w:b/>
      <w:bCs/>
      <w:sz w:val="27"/>
      <w:szCs w:val="27"/>
    </w:rPr>
  </w:style>
  <w:style w:type="paragraph" w:styleId="NormalWeb">
    <w:name w:val="Normal (Web)"/>
    <w:basedOn w:val="Normal"/>
    <w:uiPriority w:val="99"/>
    <w:unhideWhenUsed/>
    <w:rsid w:val="002F73F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F73F0"/>
    <w:rPr>
      <w:b/>
      <w:bCs/>
    </w:rPr>
  </w:style>
  <w:style w:type="character" w:styleId="Hyperlink">
    <w:name w:val="Hyperlink"/>
    <w:basedOn w:val="DefaultParagraphFont"/>
    <w:uiPriority w:val="99"/>
    <w:semiHidden/>
    <w:unhideWhenUsed/>
    <w:rsid w:val="002F73F0"/>
    <w:rPr>
      <w:color w:val="0000FF"/>
      <w:u w:val="single"/>
    </w:rPr>
  </w:style>
  <w:style w:type="paragraph" w:styleId="Header">
    <w:name w:val="header"/>
    <w:basedOn w:val="Normal"/>
    <w:link w:val="HeaderChar"/>
    <w:uiPriority w:val="99"/>
    <w:unhideWhenUsed/>
    <w:rsid w:val="00B06C43"/>
    <w:pPr>
      <w:tabs>
        <w:tab w:val="center" w:pos="4680"/>
        <w:tab w:val="right" w:pos="9360"/>
      </w:tabs>
    </w:pPr>
  </w:style>
  <w:style w:type="character" w:customStyle="1" w:styleId="HeaderChar">
    <w:name w:val="Header Char"/>
    <w:basedOn w:val="DefaultParagraphFont"/>
    <w:link w:val="Header"/>
    <w:uiPriority w:val="99"/>
    <w:rsid w:val="00B06C43"/>
  </w:style>
  <w:style w:type="paragraph" w:styleId="Footer">
    <w:name w:val="footer"/>
    <w:basedOn w:val="Normal"/>
    <w:link w:val="FooterChar"/>
    <w:unhideWhenUsed/>
    <w:rsid w:val="00B06C43"/>
    <w:pPr>
      <w:tabs>
        <w:tab w:val="center" w:pos="4680"/>
        <w:tab w:val="right" w:pos="9360"/>
      </w:tabs>
    </w:pPr>
  </w:style>
  <w:style w:type="character" w:customStyle="1" w:styleId="FooterChar">
    <w:name w:val="Footer Char"/>
    <w:basedOn w:val="DefaultParagraphFont"/>
    <w:link w:val="Footer"/>
    <w:uiPriority w:val="99"/>
    <w:rsid w:val="00B06C43"/>
  </w:style>
  <w:style w:type="character" w:styleId="PageNumber">
    <w:name w:val="page number"/>
    <w:basedOn w:val="DefaultParagraphFont"/>
    <w:rsid w:val="00B06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58962">
      <w:bodyDiv w:val="1"/>
      <w:marLeft w:val="0"/>
      <w:marRight w:val="0"/>
      <w:marTop w:val="0"/>
      <w:marBottom w:val="0"/>
      <w:divBdr>
        <w:top w:val="none" w:sz="0" w:space="0" w:color="auto"/>
        <w:left w:val="none" w:sz="0" w:space="0" w:color="auto"/>
        <w:bottom w:val="none" w:sz="0" w:space="0" w:color="auto"/>
        <w:right w:val="none" w:sz="0" w:space="0" w:color="auto"/>
      </w:divBdr>
    </w:div>
    <w:div w:id="287123517">
      <w:bodyDiv w:val="1"/>
      <w:marLeft w:val="0"/>
      <w:marRight w:val="0"/>
      <w:marTop w:val="0"/>
      <w:marBottom w:val="0"/>
      <w:divBdr>
        <w:top w:val="none" w:sz="0" w:space="0" w:color="auto"/>
        <w:left w:val="none" w:sz="0" w:space="0" w:color="auto"/>
        <w:bottom w:val="none" w:sz="0" w:space="0" w:color="auto"/>
        <w:right w:val="none" w:sz="0" w:space="0" w:color="auto"/>
      </w:divBdr>
    </w:div>
    <w:div w:id="799736471">
      <w:bodyDiv w:val="1"/>
      <w:marLeft w:val="0"/>
      <w:marRight w:val="0"/>
      <w:marTop w:val="0"/>
      <w:marBottom w:val="0"/>
      <w:divBdr>
        <w:top w:val="none" w:sz="0" w:space="0" w:color="auto"/>
        <w:left w:val="none" w:sz="0" w:space="0" w:color="auto"/>
        <w:bottom w:val="none" w:sz="0" w:space="0" w:color="auto"/>
        <w:right w:val="none" w:sz="0" w:space="0" w:color="auto"/>
      </w:divBdr>
    </w:div>
    <w:div w:id="847139396">
      <w:bodyDiv w:val="1"/>
      <w:marLeft w:val="0"/>
      <w:marRight w:val="0"/>
      <w:marTop w:val="0"/>
      <w:marBottom w:val="0"/>
      <w:divBdr>
        <w:top w:val="none" w:sz="0" w:space="0" w:color="auto"/>
        <w:left w:val="none" w:sz="0" w:space="0" w:color="auto"/>
        <w:bottom w:val="none" w:sz="0" w:space="0" w:color="auto"/>
        <w:right w:val="none" w:sz="0" w:space="0" w:color="auto"/>
      </w:divBdr>
    </w:div>
    <w:div w:id="864485950">
      <w:bodyDiv w:val="1"/>
      <w:marLeft w:val="0"/>
      <w:marRight w:val="0"/>
      <w:marTop w:val="0"/>
      <w:marBottom w:val="0"/>
      <w:divBdr>
        <w:top w:val="none" w:sz="0" w:space="0" w:color="auto"/>
        <w:left w:val="none" w:sz="0" w:space="0" w:color="auto"/>
        <w:bottom w:val="none" w:sz="0" w:space="0" w:color="auto"/>
        <w:right w:val="none" w:sz="0" w:space="0" w:color="auto"/>
      </w:divBdr>
    </w:div>
    <w:div w:id="1257858525">
      <w:bodyDiv w:val="1"/>
      <w:marLeft w:val="0"/>
      <w:marRight w:val="0"/>
      <w:marTop w:val="0"/>
      <w:marBottom w:val="0"/>
      <w:divBdr>
        <w:top w:val="none" w:sz="0" w:space="0" w:color="auto"/>
        <w:left w:val="none" w:sz="0" w:space="0" w:color="auto"/>
        <w:bottom w:val="none" w:sz="0" w:space="0" w:color="auto"/>
        <w:right w:val="none" w:sz="0" w:space="0" w:color="auto"/>
      </w:divBdr>
      <w:divsChild>
        <w:div w:id="1403524619">
          <w:marLeft w:val="0"/>
          <w:marRight w:val="0"/>
          <w:marTop w:val="0"/>
          <w:marBottom w:val="0"/>
          <w:divBdr>
            <w:top w:val="none" w:sz="0" w:space="0" w:color="auto"/>
            <w:left w:val="none" w:sz="0" w:space="0" w:color="auto"/>
            <w:bottom w:val="none" w:sz="0" w:space="0" w:color="auto"/>
            <w:right w:val="none" w:sz="0" w:space="0" w:color="auto"/>
          </w:divBdr>
        </w:div>
        <w:div w:id="1095326416">
          <w:marLeft w:val="0"/>
          <w:marRight w:val="0"/>
          <w:marTop w:val="0"/>
          <w:marBottom w:val="0"/>
          <w:divBdr>
            <w:top w:val="none" w:sz="0" w:space="0" w:color="auto"/>
            <w:left w:val="none" w:sz="0" w:space="0" w:color="auto"/>
            <w:bottom w:val="none" w:sz="0" w:space="0" w:color="auto"/>
            <w:right w:val="none" w:sz="0" w:space="0" w:color="auto"/>
          </w:divBdr>
        </w:div>
        <w:div w:id="105857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forms.com/power-of-attorney/ia/iowa-durable-power-of-attorney-for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law.justia.com/codes/iowa/2017/title-xv/chapter-633b/section-633b.105/" TargetMode="External"/><Relationship Id="rId11" Type="http://schemas.openxmlformats.org/officeDocument/2006/relationships/hyperlink" Target="https://eforms.com/estate-planning/current-assets-list/" TargetMode="External"/><Relationship Id="rId12" Type="http://schemas.openxmlformats.org/officeDocument/2006/relationships/hyperlink" Target="https://eforms.com/wills/iowa-last-will-and-testament-template/" TargetMode="External"/><Relationship Id="rId13" Type="http://schemas.openxmlformats.org/officeDocument/2006/relationships/hyperlink" Target="http://coolice.legis.iowa.gov/Cool-ICE/default.asp?category=billinfo&amp;service=IowaCode&amp;input=633.279" TargetMode="External"/><Relationship Id="rId14" Type="http://schemas.openxmlformats.org/officeDocument/2006/relationships/hyperlink" Target="https://eforms.com/living-trust/ia/iowa-revocable-living-trust-form/" TargetMode="External"/><Relationship Id="rId15" Type="http://schemas.openxmlformats.org/officeDocument/2006/relationships/hyperlink" Target="https://law.justia.com/codes/iowa/2017/title-xv/chapter-633b/section-633b.301/" TargetMode="External"/><Relationship Id="rId16" Type="http://schemas.openxmlformats.org/officeDocument/2006/relationships/hyperlink" Target="https://law.justia.com/codes/iowa/2017/title-xv/chapter-633b/" TargetMode="External"/><Relationship Id="rId17" Type="http://schemas.openxmlformats.org/officeDocument/2006/relationships/hyperlink" Target="http://coolice.legis.iowa.gov/Cool-ICE/default.asp?category=billinfo&amp;service=IowaCode&amp;input=633.279" TargetMode="External"/><Relationship Id="rId18" Type="http://schemas.openxmlformats.org/officeDocument/2006/relationships/hyperlink" Target="https://law.justia.com/codes/iowa/2017/title-xv/chapter-633a/section-633a.2101/"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forms.com/power-of-attorney/ia/iowa-durable-power-of-attorney-for-health-care/" TargetMode="External"/><Relationship Id="rId8" Type="http://schemas.openxmlformats.org/officeDocument/2006/relationships/hyperlink" Target="https://law.justia.com/codes/iowa/2017/title-iv/chapter-144b/section-144b.3/"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1049</Words>
  <Characters>5635</Characters>
  <Application>Microsoft Macintosh Word</Application>
  <DocSecurity>0</DocSecurity>
  <Lines>102</Lines>
  <Paragraphs>59</Paragraphs>
  <ScaleCrop>false</ScaleCrop>
  <HeadingPairs>
    <vt:vector size="2" baseType="variant">
      <vt:variant>
        <vt:lpstr>Title</vt:lpstr>
      </vt:variant>
      <vt:variant>
        <vt:i4>1</vt:i4>
      </vt:variant>
    </vt:vector>
  </HeadingPairs>
  <TitlesOfParts>
    <vt:vector size="1" baseType="lpstr">
      <vt:lpstr>Kansas Estate Planning Checklist</vt:lpstr>
    </vt:vector>
  </TitlesOfParts>
  <Manager/>
  <Company/>
  <LinksUpToDate>false</LinksUpToDate>
  <CharactersWithSpaces>6625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Estate Planning Checklist</dc:title>
  <dc:subject/>
  <dc:creator>eForms</dc:creator>
  <cp:keywords/>
  <dc:description/>
  <cp:lastModifiedBy>Ian Macaulay</cp:lastModifiedBy>
  <cp:revision>2</cp:revision>
  <dcterms:created xsi:type="dcterms:W3CDTF">2019-01-29T19:30:00Z</dcterms:created>
  <dcterms:modified xsi:type="dcterms:W3CDTF">2019-01-29T19:30:00Z</dcterms:modified>
  <cp:category/>
</cp:coreProperties>
</file>