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416C024A" w:rsidR="00FF2F8B" w:rsidRDefault="00252406">
      <w:pPr>
        <w:pStyle w:val="Heading1"/>
        <w:jc w:val="center"/>
        <w:rPr>
          <w:rFonts w:ascii="Arial" w:hAnsi="Arial" w:cs="Arial"/>
          <w:sz w:val="36"/>
          <w:szCs w:val="36"/>
        </w:rPr>
      </w:pPr>
      <w:r>
        <w:rPr>
          <w:rFonts w:ascii="Arial" w:hAnsi="Arial" w:cs="Arial"/>
          <w:sz w:val="36"/>
          <w:szCs w:val="36"/>
        </w:rPr>
        <w:t>MONTANA</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3EDDA28C" w14:textId="2915B161" w:rsidR="00C4721A" w:rsidRDefault="004976B9" w:rsidP="00C4721A">
      <w:pPr>
        <w:pStyle w:val="NormalWeb"/>
        <w:rPr>
          <w:rFonts w:ascii="Arial" w:hAnsi="Arial" w:cs="Arial"/>
          <w:sz w:val="27"/>
          <w:szCs w:val="27"/>
        </w:rPr>
      </w:pPr>
      <w:r>
        <w:rPr>
          <w:rFonts w:ascii="Arial" w:hAnsi="Arial" w:cs="Arial"/>
          <w:sz w:val="27"/>
          <w:szCs w:val="27"/>
        </w:rPr>
        <w:t xml:space="preserve">A person creating their estate plan, or “principal” for the purpose of these instructions, should gather all the necessary estate planning documents and ensure they are filled out correctly. These instructions can be used </w:t>
      </w:r>
      <w:r w:rsidR="00C93CCF">
        <w:rPr>
          <w:rFonts w:ascii="Arial" w:hAnsi="Arial" w:cs="Arial"/>
          <w:sz w:val="27"/>
          <w:szCs w:val="27"/>
        </w:rPr>
        <w:t xml:space="preserve">as </w:t>
      </w:r>
      <w:r>
        <w:rPr>
          <w:rFonts w:ascii="Arial" w:hAnsi="Arial" w:cs="Arial"/>
          <w:sz w:val="27"/>
          <w:szCs w:val="27"/>
        </w:rPr>
        <w:t xml:space="preserve">a general </w:t>
      </w:r>
      <w:r w:rsidR="00B921A0">
        <w:rPr>
          <w:rFonts w:ascii="Arial" w:hAnsi="Arial" w:cs="Arial"/>
          <w:sz w:val="27"/>
          <w:szCs w:val="27"/>
        </w:rPr>
        <w:t xml:space="preserve">guideline </w:t>
      </w:r>
      <w:r w:rsidR="00C93CCF">
        <w:rPr>
          <w:rFonts w:ascii="Arial" w:hAnsi="Arial" w:cs="Arial"/>
          <w:sz w:val="27"/>
          <w:szCs w:val="27"/>
        </w:rPr>
        <w:t>for</w:t>
      </w:r>
      <w:r w:rsidR="00B921A0">
        <w:rPr>
          <w:rFonts w:ascii="Arial" w:hAnsi="Arial" w:cs="Arial"/>
          <w:sz w:val="27"/>
          <w:szCs w:val="27"/>
        </w:rPr>
        <w:t xml:space="preserve"> the estate planning process; however, it is recommended that an attorney </w:t>
      </w:r>
      <w:r w:rsidR="00C93CCF">
        <w:rPr>
          <w:rFonts w:ascii="Arial" w:hAnsi="Arial" w:cs="Arial"/>
          <w:sz w:val="27"/>
          <w:szCs w:val="27"/>
        </w:rPr>
        <w:t>is</w:t>
      </w:r>
      <w:r w:rsidR="00B921A0">
        <w:rPr>
          <w:rFonts w:ascii="Arial" w:hAnsi="Arial" w:cs="Arial"/>
          <w:sz w:val="27"/>
          <w:szCs w:val="27"/>
        </w:rPr>
        <w:t xml:space="preserve"> consulted to assist in accomplishing these tasks. </w:t>
      </w:r>
    </w:p>
    <w:p w14:paraId="4973C80C" w14:textId="77777777" w:rsidR="00C4721A" w:rsidRDefault="00C4721A">
      <w:pPr>
        <w:pStyle w:val="NormalWeb"/>
        <w:rPr>
          <w:rStyle w:val="Strong"/>
          <w:rFonts w:ascii="Arial" w:hAnsi="Arial" w:cs="Arial"/>
          <w:sz w:val="32"/>
          <w:szCs w:val="32"/>
        </w:rPr>
      </w:pPr>
    </w:p>
    <w:p w14:paraId="6E35C031" w14:textId="4A050AD8" w:rsidR="00C4721A" w:rsidRDefault="00A9662C">
      <w:pPr>
        <w:pStyle w:val="NormalWeb"/>
        <w:rPr>
          <w:rFonts w:ascii="Arial" w:hAnsi="Arial" w:cs="Arial"/>
          <w:sz w:val="27"/>
          <w:szCs w:val="27"/>
        </w:rPr>
      </w:pPr>
      <w:r>
        <w:rPr>
          <w:rStyle w:val="Strong"/>
          <w:rFonts w:ascii="Arial" w:hAnsi="Arial" w:cs="Arial"/>
          <w:sz w:val="32"/>
          <w:szCs w:val="32"/>
        </w:rPr>
        <w:t xml:space="preserve">Step 1 </w:t>
      </w:r>
      <w:r w:rsidR="00A23D68">
        <w:rPr>
          <w:rStyle w:val="Strong"/>
          <w:rFonts w:ascii="Arial" w:hAnsi="Arial" w:cs="Arial"/>
          <w:sz w:val="32"/>
          <w:szCs w:val="32"/>
        </w:rPr>
        <w:t xml:space="preserve">- </w:t>
      </w:r>
      <w:r w:rsidR="00C93CCF">
        <w:rPr>
          <w:rStyle w:val="Strong"/>
          <w:rFonts w:ascii="Arial" w:hAnsi="Arial" w:cs="Arial"/>
          <w:sz w:val="32"/>
          <w:szCs w:val="32"/>
        </w:rPr>
        <w:t>Durable Power of Attorney for Health Care</w:t>
      </w:r>
    </w:p>
    <w:p w14:paraId="6A63F37D" w14:textId="77777777" w:rsidR="00C4721A" w:rsidRDefault="00C4721A">
      <w:pPr>
        <w:pStyle w:val="NormalWeb"/>
        <w:rPr>
          <w:rStyle w:val="Strong"/>
          <w:rFonts w:ascii="Arial" w:hAnsi="Arial" w:cs="Arial"/>
          <w:sz w:val="32"/>
          <w:szCs w:val="32"/>
        </w:rPr>
      </w:pPr>
    </w:p>
    <w:p w14:paraId="63F3C880" w14:textId="62FEDB84" w:rsidR="00DF0D79" w:rsidRDefault="00C93CCF" w:rsidP="00C93CCF">
      <w:pPr>
        <w:pStyle w:val="NormalWeb"/>
        <w:rPr>
          <w:rStyle w:val="Strong"/>
          <w:rFonts w:ascii="Arial" w:hAnsi="Arial" w:cs="Arial"/>
          <w:b w:val="0"/>
          <w:sz w:val="27"/>
          <w:szCs w:val="27"/>
        </w:rPr>
      </w:pPr>
      <w:r w:rsidRPr="00F4652D">
        <w:rPr>
          <w:rStyle w:val="Strong"/>
          <w:rFonts w:ascii="Arial" w:hAnsi="Arial" w:cs="Arial"/>
          <w:b w:val="0"/>
          <w:sz w:val="27"/>
          <w:szCs w:val="27"/>
        </w:rPr>
        <w:t>An</w:t>
      </w:r>
      <w:r>
        <w:rPr>
          <w:rStyle w:val="Strong"/>
          <w:rFonts w:ascii="Arial" w:hAnsi="Arial" w:cs="Arial"/>
          <w:sz w:val="27"/>
          <w:szCs w:val="27"/>
        </w:rPr>
        <w:t xml:space="preserve"> </w:t>
      </w:r>
      <w:r>
        <w:rPr>
          <w:rStyle w:val="Strong"/>
          <w:rFonts w:ascii="Arial" w:hAnsi="Arial" w:cs="Arial"/>
          <w:b w:val="0"/>
          <w:sz w:val="27"/>
          <w:szCs w:val="27"/>
        </w:rPr>
        <w:t xml:space="preserve">essential phase of the estate planning process is selecting a person to represent the principal’s best interests when it comes to medical decisions. Appointing a </w:t>
      </w:r>
      <w:r>
        <w:rPr>
          <w:rStyle w:val="Strong"/>
          <w:rFonts w:ascii="Arial" w:hAnsi="Arial" w:cs="Arial"/>
          <w:sz w:val="27"/>
          <w:szCs w:val="27"/>
        </w:rPr>
        <w:t>health care agent</w:t>
      </w:r>
      <w:r w:rsidR="006A7801">
        <w:rPr>
          <w:rStyle w:val="Strong"/>
          <w:rFonts w:ascii="Arial" w:hAnsi="Arial" w:cs="Arial"/>
          <w:b w:val="0"/>
          <w:sz w:val="27"/>
          <w:szCs w:val="27"/>
        </w:rPr>
        <w:t xml:space="preserve">, or “attorney-in-fact”, means that </w:t>
      </w:r>
      <w:proofErr w:type="spellStart"/>
      <w:r w:rsidR="006A7801">
        <w:rPr>
          <w:rStyle w:val="Strong"/>
          <w:rFonts w:ascii="Arial" w:hAnsi="Arial" w:cs="Arial"/>
          <w:b w:val="0"/>
          <w:sz w:val="27"/>
          <w:szCs w:val="27"/>
        </w:rPr>
        <w:t>iif</w:t>
      </w:r>
      <w:proofErr w:type="spellEnd"/>
      <w:r w:rsidR="006A7801">
        <w:rPr>
          <w:rStyle w:val="Strong"/>
          <w:rFonts w:ascii="Arial" w:hAnsi="Arial" w:cs="Arial"/>
          <w:b w:val="0"/>
          <w:sz w:val="27"/>
          <w:szCs w:val="27"/>
        </w:rPr>
        <w:t xml:space="preserve"> the principal should become disabled or incapacitated in a way that leaves them unable to make important decisions for themselves, the agent will step in and make those decisions on their behalf. </w:t>
      </w:r>
    </w:p>
    <w:p w14:paraId="1DFEF3E1" w14:textId="3B69B808" w:rsidR="00FF2F8B" w:rsidRDefault="00A64EC1" w:rsidP="00FE514C">
      <w:pPr>
        <w:pStyle w:val="NormalWeb"/>
        <w:rPr>
          <w:rFonts w:ascii="Arial" w:hAnsi="Arial" w:cs="Arial"/>
          <w:bCs/>
          <w:sz w:val="27"/>
          <w:szCs w:val="27"/>
        </w:rPr>
      </w:pPr>
      <w:hyperlink r:id="rId7" w:history="1">
        <w:r w:rsidR="00DF0D79" w:rsidRPr="00F4652D">
          <w:rPr>
            <w:rStyle w:val="Hyperlink"/>
            <w:rFonts w:ascii="Arial" w:hAnsi="Arial" w:cs="Arial"/>
            <w:bCs/>
            <w:sz w:val="27"/>
            <w:szCs w:val="27"/>
          </w:rPr>
          <w:t>Durable Power of Attorney Form for Health Care</w:t>
        </w:r>
      </w:hyperlink>
      <w:r w:rsidR="00DF0D79">
        <w:rPr>
          <w:rFonts w:ascii="Arial" w:hAnsi="Arial" w:cs="Arial"/>
          <w:bCs/>
          <w:sz w:val="27"/>
          <w:szCs w:val="27"/>
        </w:rPr>
        <w:t xml:space="preserve"> – This document, when signed by the principal, gives their agent full authority in regard to </w:t>
      </w:r>
      <w:r w:rsidR="00FE514C">
        <w:rPr>
          <w:rFonts w:ascii="Arial" w:hAnsi="Arial" w:cs="Arial"/>
          <w:bCs/>
          <w:sz w:val="27"/>
          <w:szCs w:val="27"/>
        </w:rPr>
        <w:t xml:space="preserve">all health care and medical treatment decisions, including the consent or refusal of any treatment or care to maintain, diagnose, or treat a life-threatening medical condition. </w:t>
      </w:r>
    </w:p>
    <w:p w14:paraId="7D3F5FF9" w14:textId="25953BC0" w:rsidR="00FE514C" w:rsidRPr="00FE514C" w:rsidRDefault="00FE514C" w:rsidP="00FE514C">
      <w:pPr>
        <w:pStyle w:val="NormalWeb"/>
        <w:numPr>
          <w:ilvl w:val="0"/>
          <w:numId w:val="6"/>
        </w:numPr>
        <w:rPr>
          <w:rFonts w:ascii="Arial" w:hAnsi="Arial" w:cs="Arial"/>
          <w:bCs/>
          <w:sz w:val="27"/>
          <w:szCs w:val="27"/>
        </w:rPr>
      </w:pPr>
      <w:r>
        <w:rPr>
          <w:rFonts w:ascii="Arial" w:hAnsi="Arial" w:cs="Arial"/>
          <w:b/>
          <w:bCs/>
          <w:sz w:val="27"/>
          <w:szCs w:val="27"/>
        </w:rPr>
        <w:t xml:space="preserve">Signing Requirements </w:t>
      </w:r>
      <w:hyperlink r:id="rId8" w:history="1">
        <w:r w:rsidRPr="00257375">
          <w:rPr>
            <w:rStyle w:val="Hyperlink"/>
            <w:rFonts w:ascii="Arial" w:hAnsi="Arial" w:cs="Arial"/>
            <w:bCs/>
            <w:sz w:val="27"/>
            <w:szCs w:val="27"/>
          </w:rPr>
          <w:t>(</w:t>
        </w:r>
        <w:r w:rsidR="00F32318" w:rsidRPr="00257375">
          <w:rPr>
            <w:rStyle w:val="Hyperlink"/>
            <w:rFonts w:ascii="Arial" w:hAnsi="Arial" w:cs="Arial"/>
            <w:bCs/>
            <w:sz w:val="27"/>
            <w:szCs w:val="27"/>
            <w:lang w:val="en-CA"/>
          </w:rPr>
          <w:t>§ 50-9-103</w:t>
        </w:r>
      </w:hyperlink>
      <w:r w:rsidR="00F32318">
        <w:rPr>
          <w:rFonts w:ascii="Arial" w:hAnsi="Arial" w:cs="Arial"/>
          <w:bCs/>
          <w:sz w:val="27"/>
          <w:szCs w:val="27"/>
          <w:lang w:val="en-CA"/>
        </w:rPr>
        <w:t xml:space="preserve">) – Must be signed by the principal and two (2) witnesses. </w:t>
      </w:r>
    </w:p>
    <w:p w14:paraId="57866CBC" w14:textId="77777777" w:rsidR="00C4721A" w:rsidRDefault="00C4721A">
      <w:pPr>
        <w:pStyle w:val="Heading3"/>
        <w:rPr>
          <w:rStyle w:val="Strong"/>
          <w:rFonts w:ascii="Arial" w:hAnsi="Arial" w:cs="Arial"/>
          <w:b/>
          <w:bCs/>
          <w:sz w:val="32"/>
          <w:szCs w:val="32"/>
        </w:rPr>
      </w:pPr>
    </w:p>
    <w:p w14:paraId="58DEB19D" w14:textId="22C7799E" w:rsidR="00FF2F8B" w:rsidRDefault="00A9662C">
      <w:pPr>
        <w:pStyle w:val="Heading3"/>
      </w:pPr>
      <w:r>
        <w:rPr>
          <w:rStyle w:val="Strong"/>
          <w:rFonts w:ascii="Arial" w:hAnsi="Arial" w:cs="Arial"/>
          <w:b/>
          <w:bCs/>
          <w:sz w:val="32"/>
          <w:szCs w:val="32"/>
        </w:rPr>
        <w:t xml:space="preserve">Step 2 </w:t>
      </w:r>
      <w:r w:rsidR="00A23D68">
        <w:rPr>
          <w:rStyle w:val="Strong"/>
          <w:rFonts w:ascii="Arial" w:hAnsi="Arial" w:cs="Arial"/>
          <w:b/>
          <w:bCs/>
          <w:sz w:val="32"/>
          <w:szCs w:val="32"/>
        </w:rPr>
        <w:t>-</w:t>
      </w:r>
      <w:r w:rsidR="000B73BE">
        <w:rPr>
          <w:rStyle w:val="Strong"/>
          <w:rFonts w:ascii="Arial" w:hAnsi="Arial" w:cs="Arial"/>
          <w:b/>
          <w:bCs/>
          <w:sz w:val="32"/>
          <w:szCs w:val="32"/>
        </w:rPr>
        <w:t xml:space="preserve"> Durable (Financial) Power of Attorney</w:t>
      </w:r>
    </w:p>
    <w:p w14:paraId="1B4C1D12" w14:textId="77777777" w:rsidR="00C4721A" w:rsidRDefault="00C4721A">
      <w:pPr>
        <w:pStyle w:val="NormalWeb"/>
        <w:rPr>
          <w:rFonts w:ascii="Arial" w:hAnsi="Arial" w:cs="Arial"/>
          <w:sz w:val="27"/>
          <w:szCs w:val="27"/>
        </w:rPr>
      </w:pPr>
    </w:p>
    <w:p w14:paraId="69434E51" w14:textId="7E4EF2E0" w:rsidR="00523DD3" w:rsidRDefault="0091662A" w:rsidP="0091662A">
      <w:pPr>
        <w:pStyle w:val="NormalWeb"/>
        <w:rPr>
          <w:rFonts w:ascii="Arial" w:hAnsi="Arial" w:cs="Arial"/>
          <w:sz w:val="27"/>
          <w:szCs w:val="27"/>
        </w:rPr>
      </w:pPr>
      <w:r>
        <w:rPr>
          <w:rFonts w:ascii="Arial" w:hAnsi="Arial" w:cs="Arial"/>
          <w:sz w:val="27"/>
          <w:szCs w:val="27"/>
        </w:rPr>
        <w:t xml:space="preserve">A </w:t>
      </w:r>
      <w:r>
        <w:rPr>
          <w:rFonts w:ascii="Arial" w:hAnsi="Arial" w:cs="Arial"/>
          <w:b/>
          <w:sz w:val="27"/>
          <w:szCs w:val="27"/>
        </w:rPr>
        <w:t>financial agent</w:t>
      </w:r>
      <w:r>
        <w:rPr>
          <w:rFonts w:ascii="Arial" w:hAnsi="Arial" w:cs="Arial"/>
          <w:sz w:val="27"/>
          <w:szCs w:val="27"/>
        </w:rPr>
        <w:t xml:space="preserve"> must also be appointed to handle the principal’s financial matters in the event of incapacitation or disability. The agent, or “attorney-in-fact”, will carry out transactions</w:t>
      </w:r>
      <w:r w:rsidR="005739F0">
        <w:rPr>
          <w:rFonts w:ascii="Arial" w:hAnsi="Arial" w:cs="Arial"/>
          <w:sz w:val="27"/>
          <w:szCs w:val="27"/>
        </w:rPr>
        <w:t xml:space="preserve">, execute agreements, manage the principal’s estate and trusts, and perform any required </w:t>
      </w:r>
      <w:r w:rsidR="00523DD3">
        <w:rPr>
          <w:rFonts w:ascii="Arial" w:hAnsi="Arial" w:cs="Arial"/>
          <w:sz w:val="27"/>
          <w:szCs w:val="27"/>
        </w:rPr>
        <w:t>duties</w:t>
      </w:r>
      <w:r w:rsidR="005739F0">
        <w:rPr>
          <w:rFonts w:ascii="Arial" w:hAnsi="Arial" w:cs="Arial"/>
          <w:sz w:val="27"/>
          <w:szCs w:val="27"/>
        </w:rPr>
        <w:t xml:space="preserve"> related to the operation of their </w:t>
      </w:r>
      <w:r w:rsidR="00523DD3">
        <w:rPr>
          <w:rFonts w:ascii="Arial" w:hAnsi="Arial" w:cs="Arial"/>
          <w:sz w:val="27"/>
          <w:szCs w:val="27"/>
        </w:rPr>
        <w:t>businesses</w:t>
      </w:r>
      <w:r w:rsidR="005739F0">
        <w:rPr>
          <w:rFonts w:ascii="Arial" w:hAnsi="Arial" w:cs="Arial"/>
          <w:sz w:val="27"/>
          <w:szCs w:val="27"/>
        </w:rPr>
        <w:t xml:space="preserve"> or other entities. Due to the delicate nature of managing financial affairs, the principal should appoint an agent that they wholeheartedly trust. </w:t>
      </w:r>
    </w:p>
    <w:p w14:paraId="35C8743C" w14:textId="17693A00" w:rsidR="00523DD3" w:rsidRDefault="00A64EC1" w:rsidP="0091662A">
      <w:pPr>
        <w:pStyle w:val="NormalWeb"/>
        <w:rPr>
          <w:rFonts w:ascii="Arial" w:hAnsi="Arial" w:cs="Arial"/>
          <w:sz w:val="27"/>
          <w:szCs w:val="27"/>
        </w:rPr>
      </w:pPr>
      <w:hyperlink r:id="rId9" w:history="1">
        <w:r w:rsidR="00523DD3" w:rsidRPr="009C4597">
          <w:rPr>
            <w:rStyle w:val="Hyperlink"/>
            <w:rFonts w:ascii="Arial" w:hAnsi="Arial" w:cs="Arial"/>
            <w:sz w:val="27"/>
            <w:szCs w:val="27"/>
          </w:rPr>
          <w:t>Durable (Financial) Power of Attorney</w:t>
        </w:r>
      </w:hyperlink>
      <w:r w:rsidR="00523DD3">
        <w:rPr>
          <w:rFonts w:ascii="Arial" w:hAnsi="Arial" w:cs="Arial"/>
          <w:sz w:val="27"/>
          <w:szCs w:val="27"/>
        </w:rPr>
        <w:t xml:space="preserve"> – A Legal instrument granting an agent authority to represent a principal’s best interests in regard to their financial </w:t>
      </w:r>
      <w:r w:rsidR="00523DD3">
        <w:rPr>
          <w:rFonts w:ascii="Arial" w:hAnsi="Arial" w:cs="Arial"/>
          <w:sz w:val="27"/>
          <w:szCs w:val="27"/>
        </w:rPr>
        <w:lastRenderedPageBreak/>
        <w:t xml:space="preserve">affairs. The document remains in full effect when the principal is unable to handle these important decisions. </w:t>
      </w:r>
    </w:p>
    <w:p w14:paraId="28F5082F" w14:textId="293D549B" w:rsidR="00305370" w:rsidRPr="00523DD3" w:rsidRDefault="00305370" w:rsidP="00305370">
      <w:pPr>
        <w:pStyle w:val="NormalWeb"/>
        <w:numPr>
          <w:ilvl w:val="0"/>
          <w:numId w:val="6"/>
        </w:numPr>
        <w:rPr>
          <w:rFonts w:ascii="Arial" w:hAnsi="Arial" w:cs="Arial"/>
          <w:sz w:val="27"/>
          <w:szCs w:val="27"/>
        </w:rPr>
      </w:pPr>
      <w:r>
        <w:rPr>
          <w:rFonts w:ascii="Arial" w:hAnsi="Arial" w:cs="Arial"/>
          <w:b/>
          <w:sz w:val="27"/>
          <w:szCs w:val="27"/>
        </w:rPr>
        <w:t>Signing Requirements</w:t>
      </w:r>
      <w:r>
        <w:rPr>
          <w:rFonts w:ascii="Arial" w:hAnsi="Arial" w:cs="Arial"/>
          <w:sz w:val="27"/>
          <w:szCs w:val="27"/>
        </w:rPr>
        <w:t xml:space="preserve"> </w:t>
      </w:r>
      <w:hyperlink r:id="rId10" w:history="1">
        <w:r w:rsidRPr="0023237E">
          <w:rPr>
            <w:rStyle w:val="Hyperlink"/>
            <w:rFonts w:ascii="Arial" w:hAnsi="Arial" w:cs="Arial"/>
            <w:sz w:val="27"/>
            <w:szCs w:val="27"/>
          </w:rPr>
          <w:t xml:space="preserve">(§ </w:t>
        </w:r>
        <w:r w:rsidRPr="0023237E">
          <w:rPr>
            <w:rStyle w:val="Hyperlink"/>
            <w:rFonts w:ascii="Arial" w:hAnsi="Arial" w:cs="Arial"/>
            <w:sz w:val="27"/>
            <w:szCs w:val="27"/>
            <w:lang w:val="en-CA"/>
          </w:rPr>
          <w:t>72-31-305</w:t>
        </w:r>
      </w:hyperlink>
      <w:r>
        <w:rPr>
          <w:rFonts w:ascii="Arial" w:hAnsi="Arial" w:cs="Arial"/>
          <w:sz w:val="27"/>
          <w:szCs w:val="27"/>
          <w:lang w:val="en-CA"/>
        </w:rPr>
        <w:t>) – Must be signed by the principa</w:t>
      </w:r>
      <w:r w:rsidR="00176C9F">
        <w:rPr>
          <w:rFonts w:ascii="Arial" w:hAnsi="Arial" w:cs="Arial"/>
          <w:sz w:val="27"/>
          <w:szCs w:val="27"/>
          <w:lang w:val="en-CA"/>
        </w:rPr>
        <w:t xml:space="preserve">l </w:t>
      </w:r>
      <w:r>
        <w:rPr>
          <w:rFonts w:ascii="Arial" w:hAnsi="Arial" w:cs="Arial"/>
          <w:sz w:val="27"/>
          <w:szCs w:val="27"/>
          <w:lang w:val="en-CA"/>
        </w:rPr>
        <w:t xml:space="preserve">and acknowledged by a notary public. </w:t>
      </w:r>
    </w:p>
    <w:p w14:paraId="21A4F147" w14:textId="0B160813" w:rsidR="0023237E" w:rsidRDefault="00A9662C" w:rsidP="00542C37">
      <w:pPr>
        <w:pStyle w:val="NormalWeb"/>
      </w:pPr>
      <w:r>
        <w:rPr>
          <w:rStyle w:val="Strong"/>
          <w:rFonts w:ascii="Arial" w:hAnsi="Arial" w:cs="Arial"/>
          <w:sz w:val="27"/>
          <w:szCs w:val="27"/>
        </w:rPr>
        <w:t>Financial Powers Allowed</w:t>
      </w:r>
      <w:r>
        <w:rPr>
          <w:rFonts w:ascii="Arial" w:hAnsi="Arial" w:cs="Arial"/>
          <w:sz w:val="27"/>
          <w:szCs w:val="27"/>
        </w:rPr>
        <w:t>:</w:t>
      </w:r>
    </w:p>
    <w:p w14:paraId="09705B52"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bookmarkStart w:id="0" w:name="_GoBack"/>
      <w:r w:rsidRPr="0023237E">
        <w:rPr>
          <w:rFonts w:ascii="Arial" w:hAnsi="Arial" w:cs="Arial"/>
          <w:sz w:val="27"/>
          <w:szCs w:val="27"/>
        </w:rPr>
        <w:t>Real Property (</w:t>
      </w:r>
      <w:hyperlink r:id="rId11" w:tgtFrame="_blank" w:history="1">
        <w:r w:rsidRPr="0023237E">
          <w:rPr>
            <w:rStyle w:val="Hyperlink"/>
            <w:rFonts w:ascii="Arial" w:hAnsi="Arial" w:cs="Arial"/>
            <w:sz w:val="27"/>
            <w:szCs w:val="27"/>
          </w:rPr>
          <w:t>§ 72-31-339</w:t>
        </w:r>
      </w:hyperlink>
      <w:r w:rsidRPr="0023237E">
        <w:rPr>
          <w:rFonts w:ascii="Arial" w:hAnsi="Arial" w:cs="Arial"/>
          <w:sz w:val="27"/>
          <w:szCs w:val="27"/>
        </w:rPr>
        <w:t>);</w:t>
      </w:r>
    </w:p>
    <w:p w14:paraId="366BFDF4"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Tangible personal property (</w:t>
      </w:r>
      <w:hyperlink r:id="rId12" w:tgtFrame="_blank" w:history="1">
        <w:r w:rsidRPr="0023237E">
          <w:rPr>
            <w:rStyle w:val="Hyperlink"/>
            <w:rFonts w:ascii="Arial" w:hAnsi="Arial" w:cs="Arial"/>
            <w:sz w:val="27"/>
            <w:szCs w:val="27"/>
          </w:rPr>
          <w:t>§ 72-31-340</w:t>
        </w:r>
      </w:hyperlink>
      <w:r w:rsidRPr="0023237E">
        <w:rPr>
          <w:rFonts w:ascii="Arial" w:hAnsi="Arial" w:cs="Arial"/>
          <w:sz w:val="27"/>
          <w:szCs w:val="27"/>
        </w:rPr>
        <w:t>);</w:t>
      </w:r>
    </w:p>
    <w:p w14:paraId="67FA5713"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Stocks and bonds (</w:t>
      </w:r>
      <w:hyperlink r:id="rId13" w:tgtFrame="_blank" w:history="1">
        <w:r w:rsidRPr="0023237E">
          <w:rPr>
            <w:rStyle w:val="Hyperlink"/>
            <w:rFonts w:ascii="Arial" w:hAnsi="Arial" w:cs="Arial"/>
            <w:sz w:val="27"/>
            <w:szCs w:val="27"/>
          </w:rPr>
          <w:t>§ 72-31-341</w:t>
        </w:r>
      </w:hyperlink>
      <w:r w:rsidRPr="0023237E">
        <w:rPr>
          <w:rFonts w:ascii="Arial" w:hAnsi="Arial" w:cs="Arial"/>
          <w:sz w:val="27"/>
          <w:szCs w:val="27"/>
        </w:rPr>
        <w:t>);</w:t>
      </w:r>
    </w:p>
    <w:p w14:paraId="09EB6127"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Commodities and options (</w:t>
      </w:r>
      <w:hyperlink r:id="rId14" w:tgtFrame="_blank" w:history="1">
        <w:r w:rsidRPr="0023237E">
          <w:rPr>
            <w:rStyle w:val="Hyperlink"/>
            <w:rFonts w:ascii="Arial" w:hAnsi="Arial" w:cs="Arial"/>
            <w:sz w:val="27"/>
            <w:szCs w:val="27"/>
          </w:rPr>
          <w:t>§ 72-31-342</w:t>
        </w:r>
      </w:hyperlink>
      <w:r w:rsidRPr="0023237E">
        <w:rPr>
          <w:rFonts w:ascii="Arial" w:hAnsi="Arial" w:cs="Arial"/>
          <w:sz w:val="27"/>
          <w:szCs w:val="27"/>
        </w:rPr>
        <w:t>);</w:t>
      </w:r>
    </w:p>
    <w:p w14:paraId="25FAC234"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Banks and other financial institutions (</w:t>
      </w:r>
      <w:hyperlink r:id="rId15" w:tgtFrame="_blank" w:history="1">
        <w:r w:rsidRPr="0023237E">
          <w:rPr>
            <w:rStyle w:val="Hyperlink"/>
            <w:rFonts w:ascii="Arial" w:hAnsi="Arial" w:cs="Arial"/>
            <w:sz w:val="27"/>
            <w:szCs w:val="27"/>
          </w:rPr>
          <w:t>§ 72-31-343</w:t>
        </w:r>
      </w:hyperlink>
      <w:r w:rsidRPr="0023237E">
        <w:rPr>
          <w:rFonts w:ascii="Arial" w:hAnsi="Arial" w:cs="Arial"/>
          <w:sz w:val="27"/>
          <w:szCs w:val="27"/>
        </w:rPr>
        <w:t>);</w:t>
      </w:r>
    </w:p>
    <w:p w14:paraId="1FF8FEBD"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Operation of entity or business (</w:t>
      </w:r>
      <w:hyperlink r:id="rId16" w:tgtFrame="_blank" w:history="1">
        <w:r w:rsidRPr="0023237E">
          <w:rPr>
            <w:rStyle w:val="Hyperlink"/>
            <w:rFonts w:ascii="Arial" w:hAnsi="Arial" w:cs="Arial"/>
            <w:sz w:val="27"/>
            <w:szCs w:val="27"/>
          </w:rPr>
          <w:t>§ 72-31-344</w:t>
        </w:r>
      </w:hyperlink>
      <w:r w:rsidRPr="0023237E">
        <w:rPr>
          <w:rFonts w:ascii="Arial" w:hAnsi="Arial" w:cs="Arial"/>
          <w:sz w:val="27"/>
          <w:szCs w:val="27"/>
        </w:rPr>
        <w:t>);</w:t>
      </w:r>
    </w:p>
    <w:p w14:paraId="2E5154D4"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Insurance and annuities (</w:t>
      </w:r>
      <w:hyperlink r:id="rId17" w:tgtFrame="_blank" w:history="1">
        <w:r w:rsidRPr="0023237E">
          <w:rPr>
            <w:rStyle w:val="Hyperlink"/>
            <w:rFonts w:ascii="Arial" w:hAnsi="Arial" w:cs="Arial"/>
            <w:sz w:val="27"/>
            <w:szCs w:val="27"/>
          </w:rPr>
          <w:t>§ 72-31-345</w:t>
        </w:r>
      </w:hyperlink>
      <w:r w:rsidRPr="0023237E">
        <w:rPr>
          <w:rFonts w:ascii="Arial" w:hAnsi="Arial" w:cs="Arial"/>
          <w:sz w:val="27"/>
          <w:szCs w:val="27"/>
        </w:rPr>
        <w:t>);</w:t>
      </w:r>
    </w:p>
    <w:p w14:paraId="01301D64"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Estates, trusts, and other beneficial interests (</w:t>
      </w:r>
      <w:hyperlink r:id="rId18" w:tgtFrame="_blank" w:history="1">
        <w:r w:rsidRPr="0023237E">
          <w:rPr>
            <w:rStyle w:val="Hyperlink"/>
            <w:rFonts w:ascii="Arial" w:hAnsi="Arial" w:cs="Arial"/>
            <w:sz w:val="27"/>
            <w:szCs w:val="27"/>
          </w:rPr>
          <w:t>§ 72-31-346</w:t>
        </w:r>
      </w:hyperlink>
      <w:r w:rsidRPr="0023237E">
        <w:rPr>
          <w:rFonts w:ascii="Arial" w:hAnsi="Arial" w:cs="Arial"/>
          <w:sz w:val="27"/>
          <w:szCs w:val="27"/>
        </w:rPr>
        <w:t>);</w:t>
      </w:r>
    </w:p>
    <w:p w14:paraId="2DE426AC"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Claims and litigation (</w:t>
      </w:r>
      <w:hyperlink r:id="rId19" w:tgtFrame="_blank" w:history="1">
        <w:r w:rsidRPr="0023237E">
          <w:rPr>
            <w:rStyle w:val="Hyperlink"/>
            <w:rFonts w:ascii="Arial" w:hAnsi="Arial" w:cs="Arial"/>
            <w:sz w:val="27"/>
            <w:szCs w:val="27"/>
          </w:rPr>
          <w:t>§ 72-31-347</w:t>
        </w:r>
      </w:hyperlink>
      <w:r w:rsidRPr="0023237E">
        <w:rPr>
          <w:rFonts w:ascii="Arial" w:hAnsi="Arial" w:cs="Arial"/>
          <w:sz w:val="27"/>
          <w:szCs w:val="27"/>
        </w:rPr>
        <w:t>);</w:t>
      </w:r>
    </w:p>
    <w:p w14:paraId="24AC67CF"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Personal and family maintenance (</w:t>
      </w:r>
      <w:hyperlink r:id="rId20" w:tgtFrame="_blank" w:history="1">
        <w:r w:rsidRPr="0023237E">
          <w:rPr>
            <w:rStyle w:val="Hyperlink"/>
            <w:rFonts w:ascii="Arial" w:hAnsi="Arial" w:cs="Arial"/>
            <w:sz w:val="27"/>
            <w:szCs w:val="27"/>
          </w:rPr>
          <w:t>§ 72-31-348</w:t>
        </w:r>
      </w:hyperlink>
      <w:r w:rsidRPr="0023237E">
        <w:rPr>
          <w:rFonts w:ascii="Arial" w:hAnsi="Arial" w:cs="Arial"/>
          <w:sz w:val="27"/>
          <w:szCs w:val="27"/>
        </w:rPr>
        <w:t>);</w:t>
      </w:r>
    </w:p>
    <w:p w14:paraId="05172E95"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Benefits from governmental programs or civil or military service (</w:t>
      </w:r>
      <w:hyperlink r:id="rId21" w:tgtFrame="_blank" w:history="1">
        <w:r w:rsidRPr="0023237E">
          <w:rPr>
            <w:rStyle w:val="Hyperlink"/>
            <w:rFonts w:ascii="Arial" w:hAnsi="Arial" w:cs="Arial"/>
            <w:sz w:val="27"/>
            <w:szCs w:val="27"/>
          </w:rPr>
          <w:t>§ 72-31-349</w:t>
        </w:r>
      </w:hyperlink>
      <w:r w:rsidRPr="0023237E">
        <w:rPr>
          <w:rFonts w:ascii="Arial" w:hAnsi="Arial" w:cs="Arial"/>
          <w:sz w:val="27"/>
          <w:szCs w:val="27"/>
        </w:rPr>
        <w:t>);</w:t>
      </w:r>
    </w:p>
    <w:p w14:paraId="6562B2B3"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Retirement plans (</w:t>
      </w:r>
      <w:hyperlink r:id="rId22" w:tgtFrame="_blank" w:history="1">
        <w:r w:rsidRPr="0023237E">
          <w:rPr>
            <w:rStyle w:val="Hyperlink"/>
            <w:rFonts w:ascii="Arial" w:hAnsi="Arial" w:cs="Arial"/>
            <w:sz w:val="27"/>
            <w:szCs w:val="27"/>
          </w:rPr>
          <w:t>§ 72-31-350</w:t>
        </w:r>
      </w:hyperlink>
      <w:r w:rsidRPr="0023237E">
        <w:rPr>
          <w:rFonts w:ascii="Arial" w:hAnsi="Arial" w:cs="Arial"/>
          <w:sz w:val="27"/>
          <w:szCs w:val="27"/>
        </w:rPr>
        <w:t>);</w:t>
      </w:r>
    </w:p>
    <w:p w14:paraId="166E77CD" w14:textId="77777777" w:rsidR="0023237E" w:rsidRPr="0023237E" w:rsidRDefault="0023237E" w:rsidP="0023237E">
      <w:pPr>
        <w:numPr>
          <w:ilvl w:val="0"/>
          <w:numId w:val="7"/>
        </w:numPr>
        <w:suppressAutoHyphens w:val="0"/>
        <w:autoSpaceDN/>
        <w:spacing w:before="100" w:beforeAutospacing="1" w:after="100" w:afterAutospacing="1"/>
        <w:textAlignment w:val="auto"/>
        <w:rPr>
          <w:rFonts w:ascii="Arial" w:hAnsi="Arial" w:cs="Arial"/>
          <w:sz w:val="27"/>
          <w:szCs w:val="27"/>
        </w:rPr>
      </w:pPr>
      <w:r w:rsidRPr="0023237E">
        <w:rPr>
          <w:rFonts w:ascii="Arial" w:hAnsi="Arial" w:cs="Arial"/>
          <w:sz w:val="27"/>
          <w:szCs w:val="27"/>
        </w:rPr>
        <w:t>Taxes (</w:t>
      </w:r>
      <w:hyperlink r:id="rId23" w:tgtFrame="_blank" w:history="1">
        <w:r w:rsidRPr="0023237E">
          <w:rPr>
            <w:rStyle w:val="Hyperlink"/>
            <w:rFonts w:ascii="Arial" w:hAnsi="Arial" w:cs="Arial"/>
            <w:sz w:val="27"/>
            <w:szCs w:val="27"/>
          </w:rPr>
          <w:t>§ 72-31-351</w:t>
        </w:r>
      </w:hyperlink>
      <w:r w:rsidRPr="0023237E">
        <w:rPr>
          <w:rFonts w:ascii="Arial" w:hAnsi="Arial" w:cs="Arial"/>
          <w:sz w:val="27"/>
          <w:szCs w:val="27"/>
        </w:rPr>
        <w:t>); and</w:t>
      </w:r>
    </w:p>
    <w:p w14:paraId="44E389B3" w14:textId="775A4761" w:rsidR="007342E7" w:rsidRPr="007342E7" w:rsidRDefault="0023237E" w:rsidP="007342E7">
      <w:pPr>
        <w:numPr>
          <w:ilvl w:val="0"/>
          <w:numId w:val="7"/>
        </w:numPr>
        <w:suppressAutoHyphens w:val="0"/>
        <w:autoSpaceDN/>
        <w:spacing w:before="100" w:beforeAutospacing="1" w:after="100" w:afterAutospacing="1"/>
        <w:textAlignment w:val="auto"/>
        <w:rPr>
          <w:rStyle w:val="Strong"/>
          <w:rFonts w:ascii="Arial" w:hAnsi="Arial" w:cs="Arial"/>
          <w:b w:val="0"/>
          <w:bCs w:val="0"/>
          <w:sz w:val="27"/>
          <w:szCs w:val="27"/>
        </w:rPr>
      </w:pPr>
      <w:r w:rsidRPr="0023237E">
        <w:rPr>
          <w:rFonts w:ascii="Arial" w:hAnsi="Arial" w:cs="Arial"/>
          <w:sz w:val="27"/>
          <w:szCs w:val="27"/>
        </w:rPr>
        <w:t>Gifts (</w:t>
      </w:r>
      <w:hyperlink r:id="rId24" w:tgtFrame="_blank" w:history="1">
        <w:r w:rsidRPr="0023237E">
          <w:rPr>
            <w:rStyle w:val="Hyperlink"/>
            <w:rFonts w:ascii="Arial" w:hAnsi="Arial" w:cs="Arial"/>
            <w:sz w:val="27"/>
            <w:szCs w:val="27"/>
          </w:rPr>
          <w:t>§ 72-31-352</w:t>
        </w:r>
      </w:hyperlink>
      <w:r w:rsidRPr="0023237E">
        <w:rPr>
          <w:rFonts w:ascii="Arial" w:hAnsi="Arial" w:cs="Arial"/>
          <w:sz w:val="27"/>
          <w:szCs w:val="27"/>
        </w:rPr>
        <w:t>).</w:t>
      </w:r>
    </w:p>
    <w:bookmarkEnd w:id="0"/>
    <w:p w14:paraId="5CBC07A9" w14:textId="77777777" w:rsidR="007342E7" w:rsidRDefault="007342E7">
      <w:pPr>
        <w:pStyle w:val="Heading3"/>
        <w:rPr>
          <w:rStyle w:val="Strong"/>
          <w:rFonts w:ascii="Arial" w:hAnsi="Arial" w:cs="Arial"/>
          <w:b/>
          <w:bCs/>
          <w:sz w:val="32"/>
          <w:szCs w:val="32"/>
        </w:rPr>
      </w:pPr>
    </w:p>
    <w:p w14:paraId="6F357759" w14:textId="5D714049" w:rsidR="00FF2F8B" w:rsidRDefault="00A9662C">
      <w:pPr>
        <w:pStyle w:val="Heading3"/>
      </w:pPr>
      <w:r>
        <w:rPr>
          <w:rStyle w:val="Strong"/>
          <w:rFonts w:ascii="Arial" w:hAnsi="Arial" w:cs="Arial"/>
          <w:b/>
          <w:bCs/>
          <w:sz w:val="32"/>
          <w:szCs w:val="32"/>
        </w:rPr>
        <w:t xml:space="preserve">Step 3 </w:t>
      </w:r>
      <w:r w:rsidR="00542C37">
        <w:rPr>
          <w:rStyle w:val="Strong"/>
          <w:rFonts w:ascii="Arial" w:hAnsi="Arial" w:cs="Arial"/>
          <w:b/>
          <w:bCs/>
          <w:sz w:val="32"/>
          <w:szCs w:val="32"/>
        </w:rPr>
        <w:t>- List of Assets and Liabilities</w:t>
      </w:r>
    </w:p>
    <w:p w14:paraId="32A7CEEC" w14:textId="77777777" w:rsidR="00C4721A" w:rsidRDefault="00C4721A">
      <w:pPr>
        <w:pStyle w:val="NormalWeb"/>
        <w:rPr>
          <w:rFonts w:ascii="Arial" w:hAnsi="Arial" w:cs="Arial"/>
          <w:sz w:val="27"/>
          <w:szCs w:val="27"/>
        </w:rPr>
      </w:pPr>
    </w:p>
    <w:p w14:paraId="7130780E" w14:textId="488A2375" w:rsidR="00FF2F8B" w:rsidRDefault="007F56A7">
      <w:pPr>
        <w:pStyle w:val="NormalWeb"/>
      </w:pPr>
      <w:r>
        <w:rPr>
          <w:rFonts w:ascii="Arial" w:hAnsi="Arial" w:cs="Arial"/>
          <w:sz w:val="27"/>
          <w:szCs w:val="27"/>
        </w:rPr>
        <w:t xml:space="preserve">Later </w:t>
      </w:r>
      <w:proofErr w:type="gramStart"/>
      <w:r>
        <w:rPr>
          <w:rFonts w:ascii="Arial" w:hAnsi="Arial" w:cs="Arial"/>
          <w:sz w:val="27"/>
          <w:szCs w:val="27"/>
        </w:rPr>
        <w:t>on</w:t>
      </w:r>
      <w:proofErr w:type="gramEnd"/>
      <w:r>
        <w:rPr>
          <w:rFonts w:ascii="Arial" w:hAnsi="Arial" w:cs="Arial"/>
          <w:sz w:val="27"/>
          <w:szCs w:val="27"/>
        </w:rPr>
        <w:t xml:space="preserve"> in the estate planning process, the principal will be drafting one or more documents that will convey their wishes regarding the fate of their estate after they die. To ensure that nothing gets left out, a list of assets and liabilities should be prepared; a </w:t>
      </w:r>
      <w:hyperlink r:id="rId25" w:history="1">
        <w:r w:rsidRPr="00012B11">
          <w:rPr>
            <w:rStyle w:val="Hyperlink"/>
            <w:rFonts w:ascii="Arial" w:hAnsi="Arial" w:cs="Arial"/>
            <w:sz w:val="27"/>
            <w:szCs w:val="27"/>
          </w:rPr>
          <w:t>Current Assets List</w:t>
        </w:r>
      </w:hyperlink>
      <w:r>
        <w:rPr>
          <w:rFonts w:ascii="Arial" w:hAnsi="Arial" w:cs="Arial"/>
          <w:sz w:val="27"/>
          <w:szCs w:val="27"/>
        </w:rPr>
        <w:t xml:space="preserve"> can be downloaded for this purpose.  </w:t>
      </w:r>
    </w:p>
    <w:p w14:paraId="7C37CE22" w14:textId="77777777" w:rsidR="00C4721A" w:rsidRDefault="00C4721A">
      <w:pPr>
        <w:pStyle w:val="Heading3"/>
        <w:rPr>
          <w:rStyle w:val="Strong"/>
          <w:rFonts w:ascii="Arial" w:hAnsi="Arial" w:cs="Arial"/>
          <w:b/>
          <w:bCs/>
          <w:sz w:val="32"/>
          <w:szCs w:val="32"/>
        </w:rPr>
      </w:pPr>
    </w:p>
    <w:p w14:paraId="6B7AB27C" w14:textId="0655E20D" w:rsidR="00FF2F8B" w:rsidRDefault="00A9662C">
      <w:pPr>
        <w:pStyle w:val="Heading3"/>
      </w:pPr>
      <w:r>
        <w:rPr>
          <w:rStyle w:val="Strong"/>
          <w:rFonts w:ascii="Arial" w:hAnsi="Arial" w:cs="Arial"/>
          <w:b/>
          <w:bCs/>
          <w:sz w:val="32"/>
          <w:szCs w:val="32"/>
        </w:rPr>
        <w:t>Step 4 -</w:t>
      </w:r>
      <w:r w:rsidR="00012B11">
        <w:rPr>
          <w:rStyle w:val="Strong"/>
          <w:rFonts w:ascii="Arial" w:hAnsi="Arial" w:cs="Arial"/>
          <w:b/>
          <w:bCs/>
          <w:sz w:val="32"/>
          <w:szCs w:val="32"/>
        </w:rPr>
        <w:t xml:space="preserve"> Beneficiaries</w:t>
      </w:r>
    </w:p>
    <w:p w14:paraId="0EE35B79" w14:textId="77777777" w:rsidR="00C4721A" w:rsidRDefault="00C4721A">
      <w:pPr>
        <w:pStyle w:val="NormalWeb"/>
        <w:rPr>
          <w:rFonts w:ascii="Arial" w:hAnsi="Arial" w:cs="Arial"/>
          <w:sz w:val="27"/>
          <w:szCs w:val="27"/>
        </w:rPr>
      </w:pPr>
    </w:p>
    <w:p w14:paraId="5D1E338F" w14:textId="68E7D9CE" w:rsidR="00FF2F8B" w:rsidRPr="00012B11" w:rsidRDefault="00012B11">
      <w:pPr>
        <w:pStyle w:val="NormalWeb"/>
        <w:rPr>
          <w:rFonts w:ascii="Arial" w:hAnsi="Arial" w:cs="Arial"/>
          <w:sz w:val="27"/>
          <w:szCs w:val="27"/>
          <w:lang w:val="en-CA"/>
        </w:rPr>
      </w:pPr>
      <w:r>
        <w:rPr>
          <w:rFonts w:ascii="Arial" w:hAnsi="Arial" w:cs="Arial"/>
          <w:sz w:val="27"/>
          <w:szCs w:val="27"/>
        </w:rPr>
        <w:t>A principal</w:t>
      </w:r>
      <w:r>
        <w:rPr>
          <w:rFonts w:ascii="Arial" w:hAnsi="Arial" w:cs="Arial"/>
          <w:sz w:val="27"/>
          <w:szCs w:val="27"/>
          <w:lang w:val="en-CA"/>
        </w:rPr>
        <w:t xml:space="preserve">’s heirs, or </w:t>
      </w:r>
      <w:r w:rsidR="007B4523" w:rsidRPr="00836D17">
        <w:rPr>
          <w:rFonts w:ascii="Arial" w:hAnsi="Arial" w:cs="Arial"/>
          <w:b/>
          <w:sz w:val="27"/>
          <w:szCs w:val="27"/>
          <w:lang w:val="en-CA"/>
        </w:rPr>
        <w:t>b</w:t>
      </w:r>
      <w:r w:rsidRPr="00836D17">
        <w:rPr>
          <w:rFonts w:ascii="Arial" w:hAnsi="Arial" w:cs="Arial"/>
          <w:b/>
          <w:sz w:val="27"/>
          <w:szCs w:val="27"/>
          <w:lang w:val="en-CA"/>
        </w:rPr>
        <w:t>eneficiaries</w:t>
      </w:r>
      <w:r>
        <w:rPr>
          <w:rFonts w:ascii="Arial" w:hAnsi="Arial" w:cs="Arial"/>
          <w:sz w:val="27"/>
          <w:szCs w:val="27"/>
          <w:lang w:val="en-CA"/>
        </w:rPr>
        <w:t>, are the individuals</w:t>
      </w:r>
      <w:r w:rsidR="00836D17">
        <w:rPr>
          <w:rFonts w:ascii="Arial" w:hAnsi="Arial" w:cs="Arial"/>
          <w:sz w:val="27"/>
          <w:szCs w:val="27"/>
          <w:lang w:val="en-CA"/>
        </w:rPr>
        <w:t xml:space="preserve"> mentioned in an estate planning document who will inherit a portion of the principal’s estate. Typically, family members, close friends, and/or business partners are chosen to receive one (1) or more assets; however, the principal can name any person unto whom a portion of the estate will be bestowed. </w:t>
      </w:r>
    </w:p>
    <w:p w14:paraId="7BCDC365" w14:textId="77777777" w:rsidR="00C4721A" w:rsidRDefault="00C4721A">
      <w:pPr>
        <w:pStyle w:val="Heading3"/>
        <w:rPr>
          <w:rStyle w:val="Strong"/>
          <w:rFonts w:ascii="Arial" w:hAnsi="Arial" w:cs="Arial"/>
          <w:b/>
          <w:bCs/>
          <w:sz w:val="32"/>
          <w:szCs w:val="32"/>
        </w:rPr>
      </w:pPr>
    </w:p>
    <w:p w14:paraId="6AACE02B" w14:textId="421077FF" w:rsidR="00FF2F8B" w:rsidRDefault="00A9662C">
      <w:pPr>
        <w:pStyle w:val="Heading3"/>
      </w:pPr>
      <w:r>
        <w:rPr>
          <w:rStyle w:val="Strong"/>
          <w:rFonts w:ascii="Arial" w:hAnsi="Arial" w:cs="Arial"/>
          <w:b/>
          <w:bCs/>
          <w:sz w:val="32"/>
          <w:szCs w:val="32"/>
        </w:rPr>
        <w:t xml:space="preserve">Step 5 - </w:t>
      </w:r>
      <w:r w:rsidR="00E03F02">
        <w:rPr>
          <w:rStyle w:val="Strong"/>
          <w:rFonts w:ascii="Arial" w:hAnsi="Arial" w:cs="Arial"/>
          <w:b/>
          <w:bCs/>
          <w:sz w:val="32"/>
          <w:szCs w:val="32"/>
        </w:rPr>
        <w:t>Last Will and Testament / Living Trust</w:t>
      </w:r>
    </w:p>
    <w:p w14:paraId="399A1327" w14:textId="77777777" w:rsidR="00C4721A" w:rsidRDefault="00C4721A">
      <w:pPr>
        <w:pStyle w:val="NormalWeb"/>
        <w:rPr>
          <w:rFonts w:ascii="Arial" w:hAnsi="Arial" w:cs="Arial"/>
          <w:sz w:val="27"/>
          <w:szCs w:val="27"/>
        </w:rPr>
      </w:pPr>
    </w:p>
    <w:p w14:paraId="0B6F91E4" w14:textId="26CF64CC" w:rsidR="00E44E5B" w:rsidRDefault="00E03F02" w:rsidP="00E03F02">
      <w:pPr>
        <w:pStyle w:val="NormalWeb"/>
        <w:rPr>
          <w:rFonts w:ascii="Arial" w:hAnsi="Arial" w:cs="Arial"/>
          <w:sz w:val="27"/>
          <w:szCs w:val="27"/>
        </w:rPr>
      </w:pPr>
      <w:r>
        <w:rPr>
          <w:rFonts w:ascii="Arial" w:hAnsi="Arial" w:cs="Arial"/>
          <w:sz w:val="27"/>
          <w:szCs w:val="27"/>
        </w:rPr>
        <w:t xml:space="preserve">It is worth </w:t>
      </w:r>
      <w:r w:rsidR="000B5F38">
        <w:rPr>
          <w:rFonts w:ascii="Arial" w:hAnsi="Arial" w:cs="Arial"/>
          <w:sz w:val="27"/>
          <w:szCs w:val="27"/>
        </w:rPr>
        <w:t>mentioning</w:t>
      </w:r>
      <w:r>
        <w:rPr>
          <w:rFonts w:ascii="Arial" w:hAnsi="Arial" w:cs="Arial"/>
          <w:sz w:val="27"/>
          <w:szCs w:val="27"/>
        </w:rPr>
        <w:t xml:space="preserve"> again that an attorney should be </w:t>
      </w:r>
      <w:r w:rsidR="00E160DE">
        <w:rPr>
          <w:rFonts w:ascii="Arial" w:hAnsi="Arial" w:cs="Arial"/>
          <w:sz w:val="27"/>
          <w:szCs w:val="27"/>
        </w:rPr>
        <w:t>requested</w:t>
      </w:r>
      <w:r>
        <w:rPr>
          <w:rFonts w:ascii="Arial" w:hAnsi="Arial" w:cs="Arial"/>
          <w:sz w:val="27"/>
          <w:szCs w:val="27"/>
        </w:rPr>
        <w:t xml:space="preserve"> when deciding which estate planning tool would better serve the principal</w:t>
      </w:r>
      <w:r w:rsidR="006F580A">
        <w:rPr>
          <w:rFonts w:ascii="Arial" w:hAnsi="Arial" w:cs="Arial"/>
          <w:sz w:val="27"/>
          <w:szCs w:val="27"/>
        </w:rPr>
        <w:t xml:space="preserve"> - </w:t>
      </w:r>
      <w:r>
        <w:rPr>
          <w:rFonts w:ascii="Arial" w:hAnsi="Arial" w:cs="Arial"/>
          <w:sz w:val="27"/>
          <w:szCs w:val="27"/>
        </w:rPr>
        <w:t>a Last Will and Testament, a Revocable Living Trust, or both. Each instrument could benefit the principal</w:t>
      </w:r>
      <w:r w:rsidR="000B5F38">
        <w:rPr>
          <w:rFonts w:ascii="Arial" w:hAnsi="Arial" w:cs="Arial"/>
          <w:sz w:val="27"/>
          <w:szCs w:val="27"/>
        </w:rPr>
        <w:t xml:space="preserve"> in different ways. </w:t>
      </w:r>
    </w:p>
    <w:p w14:paraId="7D7BC5E0" w14:textId="6F5E5893" w:rsidR="0020233B" w:rsidRDefault="00A64EC1" w:rsidP="00E03F02">
      <w:pPr>
        <w:pStyle w:val="NormalWeb"/>
        <w:rPr>
          <w:rFonts w:ascii="Arial" w:hAnsi="Arial" w:cs="Arial"/>
          <w:sz w:val="27"/>
          <w:szCs w:val="27"/>
        </w:rPr>
      </w:pPr>
      <w:hyperlink r:id="rId26" w:history="1">
        <w:r w:rsidR="00E44E5B" w:rsidRPr="00A2191F">
          <w:rPr>
            <w:rStyle w:val="Hyperlink"/>
            <w:rFonts w:ascii="Arial" w:hAnsi="Arial" w:cs="Arial"/>
            <w:sz w:val="27"/>
            <w:szCs w:val="27"/>
          </w:rPr>
          <w:t>Last Will and Testament</w:t>
        </w:r>
      </w:hyperlink>
      <w:r w:rsidR="00E44E5B">
        <w:rPr>
          <w:rFonts w:ascii="Arial" w:hAnsi="Arial" w:cs="Arial"/>
          <w:sz w:val="27"/>
          <w:szCs w:val="27"/>
        </w:rPr>
        <w:t xml:space="preserve"> – The principal, or testator as they are referred to in a Will, will provide instructions regarding the distribution of their estate to named beneficiaries after they die. After the </w:t>
      </w:r>
      <w:r w:rsidR="0020233B">
        <w:rPr>
          <w:rFonts w:ascii="Arial" w:hAnsi="Arial" w:cs="Arial"/>
          <w:sz w:val="27"/>
          <w:szCs w:val="27"/>
        </w:rPr>
        <w:t>testator’s</w:t>
      </w:r>
      <w:r w:rsidR="00E44E5B">
        <w:rPr>
          <w:rFonts w:ascii="Arial" w:hAnsi="Arial" w:cs="Arial"/>
          <w:sz w:val="27"/>
          <w:szCs w:val="27"/>
        </w:rPr>
        <w:t xml:space="preserve"> death, this document must be reviewed by probate court to determine it</w:t>
      </w:r>
      <w:r w:rsidR="00823C44">
        <w:rPr>
          <w:rFonts w:ascii="Arial" w:hAnsi="Arial" w:cs="Arial"/>
          <w:sz w:val="27"/>
          <w:szCs w:val="27"/>
        </w:rPr>
        <w:t>s authenticity and validity. If it is approved by the court to be legitimate, the executor (person selected by the testator to carry out the Will’s instructions) will distribute the estate.</w:t>
      </w:r>
    </w:p>
    <w:p w14:paraId="6FF12428" w14:textId="354EB3F0" w:rsidR="00195F2D" w:rsidRDefault="0020233B" w:rsidP="00195F2D">
      <w:pPr>
        <w:pStyle w:val="NormalWeb"/>
        <w:numPr>
          <w:ilvl w:val="0"/>
          <w:numId w:val="6"/>
        </w:numPr>
        <w:rPr>
          <w:rFonts w:ascii="Arial" w:hAnsi="Arial" w:cs="Arial"/>
          <w:sz w:val="27"/>
          <w:szCs w:val="27"/>
        </w:rPr>
      </w:pPr>
      <w:r>
        <w:rPr>
          <w:rFonts w:ascii="Arial" w:hAnsi="Arial" w:cs="Arial"/>
          <w:b/>
          <w:sz w:val="27"/>
          <w:szCs w:val="27"/>
        </w:rPr>
        <w:t>Signing Requirements</w:t>
      </w:r>
      <w:r>
        <w:rPr>
          <w:rFonts w:ascii="Arial" w:hAnsi="Arial" w:cs="Arial"/>
          <w:sz w:val="27"/>
          <w:szCs w:val="27"/>
        </w:rPr>
        <w:t xml:space="preserve"> (</w:t>
      </w:r>
      <w:hyperlink r:id="rId27" w:history="1">
        <w:r w:rsidR="00195F2D" w:rsidRPr="00037223">
          <w:rPr>
            <w:rStyle w:val="Hyperlink"/>
            <w:rFonts w:ascii="Arial" w:hAnsi="Arial" w:cs="Arial"/>
            <w:sz w:val="27"/>
            <w:szCs w:val="27"/>
          </w:rPr>
          <w:t xml:space="preserve">§ </w:t>
        </w:r>
        <w:r w:rsidR="00195F2D" w:rsidRPr="00037223">
          <w:rPr>
            <w:rStyle w:val="Hyperlink"/>
            <w:rFonts w:ascii="Arial" w:hAnsi="Arial" w:cs="Arial"/>
            <w:sz w:val="27"/>
            <w:szCs w:val="27"/>
            <w:lang w:val="en-CA"/>
          </w:rPr>
          <w:t>72-2-522</w:t>
        </w:r>
      </w:hyperlink>
      <w:r w:rsidR="00195F2D">
        <w:rPr>
          <w:rFonts w:ascii="Arial" w:hAnsi="Arial" w:cs="Arial"/>
          <w:sz w:val="27"/>
          <w:szCs w:val="27"/>
          <w:lang w:val="en-CA"/>
        </w:rPr>
        <w:t>) – Testator and two (2) witnesses.</w:t>
      </w:r>
    </w:p>
    <w:p w14:paraId="37E42A77" w14:textId="7FB03A82" w:rsidR="00195F2D" w:rsidRDefault="00A64EC1" w:rsidP="00195F2D">
      <w:pPr>
        <w:pStyle w:val="NormalWeb"/>
        <w:rPr>
          <w:rFonts w:ascii="Arial" w:hAnsi="Arial" w:cs="Arial"/>
          <w:sz w:val="27"/>
          <w:szCs w:val="27"/>
        </w:rPr>
      </w:pPr>
      <w:hyperlink r:id="rId28" w:history="1">
        <w:r w:rsidR="00195F2D" w:rsidRPr="0076434E">
          <w:rPr>
            <w:rStyle w:val="Hyperlink"/>
            <w:rFonts w:ascii="Arial" w:hAnsi="Arial" w:cs="Arial"/>
            <w:sz w:val="27"/>
            <w:szCs w:val="27"/>
          </w:rPr>
          <w:t>(</w:t>
        </w:r>
        <w:r w:rsidR="005647E9" w:rsidRPr="0076434E">
          <w:rPr>
            <w:rStyle w:val="Hyperlink"/>
            <w:rFonts w:ascii="Arial" w:hAnsi="Arial" w:cs="Arial"/>
            <w:sz w:val="27"/>
            <w:szCs w:val="27"/>
          </w:rPr>
          <w:t>R</w:t>
        </w:r>
        <w:r w:rsidR="00195F2D" w:rsidRPr="0076434E">
          <w:rPr>
            <w:rStyle w:val="Hyperlink"/>
            <w:rFonts w:ascii="Arial" w:hAnsi="Arial" w:cs="Arial"/>
            <w:sz w:val="27"/>
            <w:szCs w:val="27"/>
          </w:rPr>
          <w:t>evocable) Living Trust</w:t>
        </w:r>
      </w:hyperlink>
      <w:r w:rsidR="00195F2D">
        <w:rPr>
          <w:rFonts w:ascii="Arial" w:hAnsi="Arial" w:cs="Arial"/>
          <w:sz w:val="27"/>
          <w:szCs w:val="27"/>
        </w:rPr>
        <w:t xml:space="preserve"> – Similar to a Will, a Revocable Living Trust ensures that a grantor’s (Principal) estate is divided properly amongst the beneficiaries after their death. The Trust acts as an</w:t>
      </w:r>
      <w:r w:rsidR="004457BE">
        <w:rPr>
          <w:rFonts w:ascii="Arial" w:hAnsi="Arial" w:cs="Arial"/>
          <w:sz w:val="27"/>
          <w:szCs w:val="27"/>
        </w:rPr>
        <w:t xml:space="preserve"> entity into which the grantor can place </w:t>
      </w:r>
      <w:r w:rsidR="00E05495">
        <w:rPr>
          <w:rFonts w:ascii="Arial" w:hAnsi="Arial" w:cs="Arial"/>
          <w:sz w:val="27"/>
          <w:szCs w:val="27"/>
        </w:rPr>
        <w:t>all or a part of their estate, ultimately transferring ownership of these assets</w:t>
      </w:r>
      <w:r w:rsidR="00407C06">
        <w:rPr>
          <w:rFonts w:ascii="Arial" w:hAnsi="Arial" w:cs="Arial"/>
          <w:sz w:val="27"/>
          <w:szCs w:val="27"/>
        </w:rPr>
        <w:t xml:space="preserve"> to the Trust. </w:t>
      </w:r>
      <w:r w:rsidR="00E64CB8">
        <w:rPr>
          <w:rFonts w:ascii="Arial" w:hAnsi="Arial" w:cs="Arial"/>
          <w:sz w:val="27"/>
          <w:szCs w:val="27"/>
        </w:rPr>
        <w:t xml:space="preserve">The grantor continues to benefit from their assets during their lifetime, and typically names themselves trustee of the entity. The main difference between a Will and a Living Trust is that a Trust will not be reviewed by probate court nor will it be made </w:t>
      </w:r>
      <w:r w:rsidR="008A08BE">
        <w:rPr>
          <w:rFonts w:ascii="Arial" w:hAnsi="Arial" w:cs="Arial"/>
          <w:sz w:val="27"/>
          <w:szCs w:val="27"/>
        </w:rPr>
        <w:t>public</w:t>
      </w:r>
      <w:r w:rsidR="00E64CB8">
        <w:rPr>
          <w:rFonts w:ascii="Arial" w:hAnsi="Arial" w:cs="Arial"/>
          <w:sz w:val="27"/>
          <w:szCs w:val="27"/>
        </w:rPr>
        <w:t xml:space="preserve"> record after the grantor’s death. </w:t>
      </w:r>
    </w:p>
    <w:p w14:paraId="2372A2CB" w14:textId="0F11D117" w:rsidR="005647E9" w:rsidRPr="00195F2D" w:rsidRDefault="005647E9" w:rsidP="005647E9">
      <w:pPr>
        <w:pStyle w:val="NormalWeb"/>
        <w:numPr>
          <w:ilvl w:val="0"/>
          <w:numId w:val="6"/>
        </w:numPr>
        <w:rPr>
          <w:rFonts w:ascii="Arial" w:hAnsi="Arial" w:cs="Arial"/>
          <w:sz w:val="27"/>
          <w:szCs w:val="27"/>
        </w:rPr>
      </w:pPr>
      <w:r>
        <w:rPr>
          <w:rFonts w:ascii="Arial" w:hAnsi="Arial" w:cs="Arial"/>
          <w:b/>
          <w:sz w:val="27"/>
          <w:szCs w:val="27"/>
        </w:rPr>
        <w:t>Signing Requirements</w:t>
      </w:r>
      <w:r>
        <w:rPr>
          <w:rFonts w:ascii="Arial" w:hAnsi="Arial" w:cs="Arial"/>
          <w:sz w:val="27"/>
          <w:szCs w:val="27"/>
        </w:rPr>
        <w:t xml:space="preserve"> – Not specifically mentioned; however, it is highly recommended to have the document signed by a witness and a notary public. </w:t>
      </w:r>
    </w:p>
    <w:p w14:paraId="5C46EA4A" w14:textId="77777777" w:rsidR="00C4721A" w:rsidRDefault="00C4721A">
      <w:pPr>
        <w:pStyle w:val="Heading3"/>
        <w:rPr>
          <w:rStyle w:val="Strong"/>
          <w:rFonts w:ascii="Arial" w:hAnsi="Arial" w:cs="Arial"/>
          <w:b/>
          <w:bCs/>
          <w:sz w:val="32"/>
          <w:szCs w:val="32"/>
        </w:rPr>
      </w:pPr>
    </w:p>
    <w:p w14:paraId="1E2D364A" w14:textId="0D29F9DD" w:rsidR="00FF2F8B" w:rsidRDefault="00A9662C">
      <w:pPr>
        <w:pStyle w:val="Heading3"/>
      </w:pPr>
      <w:r>
        <w:rPr>
          <w:rStyle w:val="Strong"/>
          <w:rFonts w:ascii="Arial" w:hAnsi="Arial" w:cs="Arial"/>
          <w:b/>
          <w:bCs/>
          <w:sz w:val="32"/>
          <w:szCs w:val="32"/>
        </w:rPr>
        <w:t>Step 6 - Stor</w:t>
      </w:r>
      <w:r w:rsidR="0076434E">
        <w:rPr>
          <w:rStyle w:val="Strong"/>
          <w:rFonts w:ascii="Arial" w:hAnsi="Arial" w:cs="Arial"/>
          <w:b/>
          <w:bCs/>
          <w:sz w:val="32"/>
          <w:szCs w:val="32"/>
        </w:rPr>
        <w:t xml:space="preserve">e </w:t>
      </w:r>
      <w:r>
        <w:rPr>
          <w:rStyle w:val="Strong"/>
          <w:rFonts w:ascii="Arial" w:hAnsi="Arial" w:cs="Arial"/>
          <w:b/>
          <w:bCs/>
          <w:sz w:val="32"/>
          <w:szCs w:val="32"/>
        </w:rPr>
        <w:t>Documents</w:t>
      </w:r>
    </w:p>
    <w:p w14:paraId="64ED54BF" w14:textId="77777777" w:rsidR="00C4721A" w:rsidRDefault="00C4721A">
      <w:pPr>
        <w:pStyle w:val="NormalWeb"/>
        <w:rPr>
          <w:rFonts w:ascii="Arial" w:hAnsi="Arial" w:cs="Arial"/>
          <w:sz w:val="27"/>
          <w:szCs w:val="27"/>
        </w:rPr>
      </w:pPr>
    </w:p>
    <w:p w14:paraId="78DA7389" w14:textId="481A5579" w:rsidR="00FF2F8B" w:rsidRDefault="003A74E3" w:rsidP="001218C1">
      <w:pPr>
        <w:pStyle w:val="NormalWeb"/>
        <w:rPr>
          <w:rFonts w:ascii="Arial" w:hAnsi="Arial" w:cs="Arial"/>
          <w:sz w:val="27"/>
          <w:szCs w:val="27"/>
        </w:rPr>
      </w:pPr>
      <w:r>
        <w:rPr>
          <w:rFonts w:ascii="Arial" w:hAnsi="Arial" w:cs="Arial"/>
          <w:sz w:val="27"/>
          <w:szCs w:val="27"/>
        </w:rPr>
        <w:t>Estate planning documents should be kept in a dry, fireproof place such as a safe or locked filing cabinet in one’s home or at one’s office. A trusted individual, such as an agent, executor, and/or beneficiary should have access to the location and the key/</w:t>
      </w:r>
      <w:proofErr w:type="gramStart"/>
      <w:r>
        <w:rPr>
          <w:rFonts w:ascii="Arial" w:hAnsi="Arial" w:cs="Arial"/>
          <w:sz w:val="27"/>
          <w:szCs w:val="27"/>
        </w:rPr>
        <w:t>combination</w:t>
      </w:r>
      <w:proofErr w:type="gramEnd"/>
      <w:r>
        <w:rPr>
          <w:rFonts w:ascii="Arial" w:hAnsi="Arial" w:cs="Arial"/>
          <w:sz w:val="27"/>
          <w:szCs w:val="27"/>
        </w:rPr>
        <w:t xml:space="preserve"> so the documents can be easily procured once the principal dies. </w:t>
      </w:r>
    </w:p>
    <w:sectPr w:rsidR="00FF2F8B">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808A" w14:textId="77777777" w:rsidR="00A64EC1" w:rsidRDefault="00A64EC1">
      <w:r>
        <w:separator/>
      </w:r>
    </w:p>
  </w:endnote>
  <w:endnote w:type="continuationSeparator" w:id="0">
    <w:p w14:paraId="383D65AF" w14:textId="77777777" w:rsidR="00A64EC1" w:rsidRDefault="00A6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DBFC" w14:textId="77777777" w:rsidR="00A64EC1" w:rsidRDefault="00A64EC1">
      <w:r>
        <w:rPr>
          <w:color w:val="000000"/>
        </w:rPr>
        <w:separator/>
      </w:r>
    </w:p>
  </w:footnote>
  <w:footnote w:type="continuationSeparator" w:id="0">
    <w:p w14:paraId="3B6F13CF" w14:textId="77777777" w:rsidR="00A64EC1" w:rsidRDefault="00A6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56"/>
    <w:multiLevelType w:val="hybridMultilevel"/>
    <w:tmpl w:val="FFB67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FB4365F"/>
    <w:multiLevelType w:val="multilevel"/>
    <w:tmpl w:val="1EC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12B11"/>
    <w:rsid w:val="00037223"/>
    <w:rsid w:val="000B5F38"/>
    <w:rsid w:val="000B73BE"/>
    <w:rsid w:val="001218C1"/>
    <w:rsid w:val="00176C9F"/>
    <w:rsid w:val="00195F2D"/>
    <w:rsid w:val="001A2ADD"/>
    <w:rsid w:val="0020233B"/>
    <w:rsid w:val="0023237E"/>
    <w:rsid w:val="00252406"/>
    <w:rsid w:val="00257375"/>
    <w:rsid w:val="00305370"/>
    <w:rsid w:val="00373007"/>
    <w:rsid w:val="003A74E3"/>
    <w:rsid w:val="00407C06"/>
    <w:rsid w:val="004457BE"/>
    <w:rsid w:val="004976B9"/>
    <w:rsid w:val="00523DD3"/>
    <w:rsid w:val="00542C37"/>
    <w:rsid w:val="005647E9"/>
    <w:rsid w:val="005739F0"/>
    <w:rsid w:val="006A7801"/>
    <w:rsid w:val="006F580A"/>
    <w:rsid w:val="007342E7"/>
    <w:rsid w:val="0076434E"/>
    <w:rsid w:val="007B4523"/>
    <w:rsid w:val="007F56A7"/>
    <w:rsid w:val="00823C44"/>
    <w:rsid w:val="00836D17"/>
    <w:rsid w:val="008A08BE"/>
    <w:rsid w:val="008A56A8"/>
    <w:rsid w:val="0091662A"/>
    <w:rsid w:val="009C4597"/>
    <w:rsid w:val="00A14FD8"/>
    <w:rsid w:val="00A2191F"/>
    <w:rsid w:val="00A23D68"/>
    <w:rsid w:val="00A64EC1"/>
    <w:rsid w:val="00A9662C"/>
    <w:rsid w:val="00B921A0"/>
    <w:rsid w:val="00C4721A"/>
    <w:rsid w:val="00C93CCF"/>
    <w:rsid w:val="00DF0D79"/>
    <w:rsid w:val="00E03F02"/>
    <w:rsid w:val="00E05495"/>
    <w:rsid w:val="00E160DE"/>
    <w:rsid w:val="00E44E5B"/>
    <w:rsid w:val="00E64CB8"/>
    <w:rsid w:val="00F32318"/>
    <w:rsid w:val="00F4652D"/>
    <w:rsid w:val="00FE514C"/>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4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montana/2017/title-50/chapter-9/part-1/section-50-9-103/" TargetMode="External"/><Relationship Id="rId13" Type="http://schemas.openxmlformats.org/officeDocument/2006/relationships/hyperlink" Target="https://law.justia.com/codes/montana/2017/title-72/chapter-31/part-3/section-72-31-341/" TargetMode="External"/><Relationship Id="rId18" Type="http://schemas.openxmlformats.org/officeDocument/2006/relationships/hyperlink" Target="https://law.justia.com/codes/montana/2017/title-72/chapter-31/part-3/section-72-31-346/index.html" TargetMode="External"/><Relationship Id="rId26" Type="http://schemas.openxmlformats.org/officeDocument/2006/relationships/hyperlink" Target="https://eforms.com/wills/montana-last-will-and-testament-template/" TargetMode="External"/><Relationship Id="rId3" Type="http://schemas.openxmlformats.org/officeDocument/2006/relationships/settings" Target="settings.xml"/><Relationship Id="rId21" Type="http://schemas.openxmlformats.org/officeDocument/2006/relationships/hyperlink" Target="https://law.justia.com/codes/montana/2017/title-72/chapter-31/part-3/section-72-31-349/index.html" TargetMode="External"/><Relationship Id="rId7" Type="http://schemas.openxmlformats.org/officeDocument/2006/relationships/hyperlink" Target="https://eforms.com/power-of-attorney/mt/montana-durable-power-of-attorney-for-health-care/" TargetMode="External"/><Relationship Id="rId12" Type="http://schemas.openxmlformats.org/officeDocument/2006/relationships/hyperlink" Target="https://law.justia.com/codes/montana/2017/title-72/chapter-31/part-3/section-72-31-340/" TargetMode="External"/><Relationship Id="rId17" Type="http://schemas.openxmlformats.org/officeDocument/2006/relationships/hyperlink" Target="https://law.justia.com/codes/montana/2017/title-72/chapter-31/part-3/section-72-31-345/index.html" TargetMode="External"/><Relationship Id="rId25" Type="http://schemas.openxmlformats.org/officeDocument/2006/relationships/hyperlink" Target="https://eforms.com/estate-planning/current-assets-list/" TargetMode="External"/><Relationship Id="rId2" Type="http://schemas.openxmlformats.org/officeDocument/2006/relationships/styles" Target="styles.xml"/><Relationship Id="rId16" Type="http://schemas.openxmlformats.org/officeDocument/2006/relationships/hyperlink" Target="https://law.justia.com/codes/montana/2017/title-72/chapter-31/part-3/section-72-31-344/index.html" TargetMode="External"/><Relationship Id="rId20" Type="http://schemas.openxmlformats.org/officeDocument/2006/relationships/hyperlink" Target="https://law.justia.com/codes/montana/2017/title-72/chapter-31/part-3/section-72-31-348/index.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montana/2017/title-72/chapter-31/part-3/section-72-31-339/index.html" TargetMode="External"/><Relationship Id="rId24" Type="http://schemas.openxmlformats.org/officeDocument/2006/relationships/hyperlink" Target="https://law.justia.com/codes/montana/2017/title-72/chapter-31/part-3/section-72-31-352/index.html" TargetMode="External"/><Relationship Id="rId5" Type="http://schemas.openxmlformats.org/officeDocument/2006/relationships/footnotes" Target="footnotes.xml"/><Relationship Id="rId15" Type="http://schemas.openxmlformats.org/officeDocument/2006/relationships/hyperlink" Target="https://law.justia.com/codes/montana/2017/title-72/chapter-31/part-3/section-72-31-343/index.html" TargetMode="External"/><Relationship Id="rId23" Type="http://schemas.openxmlformats.org/officeDocument/2006/relationships/hyperlink" Target="https://law.justia.com/codes/montana/2017/title-72/chapter-31/part-3/section-72-31-351/index.html" TargetMode="External"/><Relationship Id="rId28" Type="http://schemas.openxmlformats.org/officeDocument/2006/relationships/hyperlink" Target="https://eforms.com/living-trust/mt/montana-revocable-living-trust-form/" TargetMode="External"/><Relationship Id="rId10" Type="http://schemas.openxmlformats.org/officeDocument/2006/relationships/hyperlink" Target="https://law.justia.com/codes/montana/2017/title-72/chapter-31/part-3/section-72-31-305/" TargetMode="External"/><Relationship Id="rId19" Type="http://schemas.openxmlformats.org/officeDocument/2006/relationships/hyperlink" Target="https://law.justia.com/codes/montana/2017/title-72/chapter-31/part-3/section-72-31-347/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forms.com/power-of-attorney/mt/montana-durable-statutory-power-of-attorney/" TargetMode="External"/><Relationship Id="rId14" Type="http://schemas.openxmlformats.org/officeDocument/2006/relationships/hyperlink" Target="https://law.justia.com/codes/montana/2017/title-72/chapter-31/part-3/section-72-31-342/index.html" TargetMode="External"/><Relationship Id="rId22" Type="http://schemas.openxmlformats.org/officeDocument/2006/relationships/hyperlink" Target="https://law.justia.com/codes/montana/2017/title-72/chapter-31/part-3/section-72-31-350/index.html" TargetMode="External"/><Relationship Id="rId27" Type="http://schemas.openxmlformats.org/officeDocument/2006/relationships/hyperlink" Target="https://law.justia.com/codes/montana/2017/title-72/chapter-2/part-5/section-72-2-522/"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Jake Upex</cp:lastModifiedBy>
  <cp:revision>6</cp:revision>
  <dcterms:created xsi:type="dcterms:W3CDTF">2019-01-04T17:18:00Z</dcterms:created>
  <dcterms:modified xsi:type="dcterms:W3CDTF">2019-01-04T20:42:00Z</dcterms:modified>
</cp:coreProperties>
</file>