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DED6B" w14:textId="06055A25" w:rsidR="00FF2F8B" w:rsidRDefault="009D2A45">
      <w:pPr>
        <w:pStyle w:val="Heading1"/>
        <w:jc w:val="center"/>
        <w:rPr>
          <w:rFonts w:ascii="Arial" w:hAnsi="Arial" w:cs="Arial"/>
          <w:sz w:val="36"/>
          <w:szCs w:val="36"/>
        </w:rPr>
      </w:pPr>
      <w:r>
        <w:rPr>
          <w:rFonts w:ascii="Arial" w:hAnsi="Arial" w:cs="Arial"/>
          <w:sz w:val="36"/>
          <w:szCs w:val="36"/>
        </w:rPr>
        <w:t>NEBRASKA</w:t>
      </w:r>
      <w:r w:rsidR="00A9662C">
        <w:rPr>
          <w:rFonts w:ascii="Arial" w:hAnsi="Arial" w:cs="Arial"/>
          <w:sz w:val="36"/>
          <w:szCs w:val="36"/>
        </w:rPr>
        <w:t xml:space="preserve"> ESTATE PLANNING CHECKLIST</w:t>
      </w:r>
    </w:p>
    <w:p w14:paraId="78F43F35" w14:textId="77777777" w:rsidR="00C4721A" w:rsidRDefault="00C4721A" w:rsidP="00C4721A">
      <w:pPr>
        <w:pStyle w:val="NormalWeb"/>
        <w:rPr>
          <w:rFonts w:ascii="Arial" w:hAnsi="Arial" w:cs="Arial"/>
          <w:sz w:val="27"/>
          <w:szCs w:val="27"/>
        </w:rPr>
      </w:pPr>
    </w:p>
    <w:p w14:paraId="3EDDA28C" w14:textId="4FC481EF" w:rsidR="00C4721A" w:rsidRDefault="009D2A45" w:rsidP="00C4721A">
      <w:pPr>
        <w:pStyle w:val="NormalWeb"/>
        <w:rPr>
          <w:rFonts w:ascii="Arial" w:hAnsi="Arial" w:cs="Arial"/>
          <w:sz w:val="27"/>
          <w:szCs w:val="27"/>
        </w:rPr>
      </w:pPr>
      <w:r>
        <w:rPr>
          <w:rFonts w:ascii="Arial" w:hAnsi="Arial" w:cs="Arial"/>
          <w:sz w:val="27"/>
          <w:szCs w:val="27"/>
        </w:rPr>
        <w:t xml:space="preserve">This guide can be helpful while planning one’s estate; however, it is highly recommended that legal counsel </w:t>
      </w:r>
      <w:r w:rsidR="003D7B26">
        <w:rPr>
          <w:rFonts w:ascii="Arial" w:hAnsi="Arial" w:cs="Arial"/>
          <w:sz w:val="27"/>
          <w:szCs w:val="27"/>
        </w:rPr>
        <w:t>is</w:t>
      </w:r>
      <w:r>
        <w:rPr>
          <w:rFonts w:ascii="Arial" w:hAnsi="Arial" w:cs="Arial"/>
          <w:sz w:val="27"/>
          <w:szCs w:val="27"/>
        </w:rPr>
        <w:t xml:space="preserve"> sought out before proceeding. </w:t>
      </w:r>
    </w:p>
    <w:p w14:paraId="4973C80C" w14:textId="77777777" w:rsidR="00C4721A" w:rsidRDefault="00C4721A">
      <w:pPr>
        <w:pStyle w:val="NormalWeb"/>
        <w:rPr>
          <w:rStyle w:val="Strong"/>
          <w:rFonts w:ascii="Arial" w:hAnsi="Arial" w:cs="Arial"/>
          <w:sz w:val="32"/>
          <w:szCs w:val="32"/>
        </w:rPr>
      </w:pPr>
    </w:p>
    <w:p w14:paraId="6E35C031" w14:textId="5CEFC9B2" w:rsidR="00C4721A" w:rsidRDefault="00A9662C">
      <w:pPr>
        <w:pStyle w:val="NormalWeb"/>
        <w:rPr>
          <w:rFonts w:ascii="Arial" w:hAnsi="Arial" w:cs="Arial"/>
          <w:sz w:val="27"/>
          <w:szCs w:val="27"/>
        </w:rPr>
      </w:pPr>
      <w:r>
        <w:rPr>
          <w:rStyle w:val="Strong"/>
          <w:rFonts w:ascii="Arial" w:hAnsi="Arial" w:cs="Arial"/>
          <w:sz w:val="32"/>
          <w:szCs w:val="32"/>
        </w:rPr>
        <w:t xml:space="preserve">Step 1 </w:t>
      </w:r>
      <w:r w:rsidR="00076C90">
        <w:rPr>
          <w:rStyle w:val="Strong"/>
          <w:rFonts w:ascii="Arial" w:hAnsi="Arial" w:cs="Arial"/>
          <w:sz w:val="32"/>
          <w:szCs w:val="32"/>
        </w:rPr>
        <w:t>- Appoint Health Care Agent</w:t>
      </w:r>
    </w:p>
    <w:p w14:paraId="6A63F37D" w14:textId="77777777" w:rsidR="00C4721A" w:rsidRDefault="00C4721A">
      <w:pPr>
        <w:pStyle w:val="NormalWeb"/>
        <w:rPr>
          <w:rStyle w:val="Strong"/>
          <w:rFonts w:ascii="Arial" w:hAnsi="Arial" w:cs="Arial"/>
          <w:sz w:val="32"/>
          <w:szCs w:val="32"/>
        </w:rPr>
      </w:pPr>
    </w:p>
    <w:p w14:paraId="7D3F5FF9" w14:textId="4DD90F95" w:rsidR="00FE514C" w:rsidRDefault="00C93CCF" w:rsidP="007D7B88">
      <w:pPr>
        <w:pStyle w:val="NormalWeb"/>
        <w:rPr>
          <w:rStyle w:val="Strong"/>
          <w:rFonts w:ascii="Arial" w:hAnsi="Arial" w:cs="Arial"/>
          <w:b w:val="0"/>
          <w:sz w:val="27"/>
          <w:szCs w:val="27"/>
        </w:rPr>
      </w:pPr>
      <w:r w:rsidRPr="00F4652D">
        <w:rPr>
          <w:rStyle w:val="Strong"/>
          <w:rFonts w:ascii="Arial" w:hAnsi="Arial" w:cs="Arial"/>
          <w:b w:val="0"/>
          <w:sz w:val="27"/>
          <w:szCs w:val="27"/>
        </w:rPr>
        <w:t>A</w:t>
      </w:r>
      <w:r w:rsidR="007D7B88">
        <w:rPr>
          <w:rStyle w:val="Strong"/>
          <w:rFonts w:ascii="Arial" w:hAnsi="Arial" w:cs="Arial"/>
          <w:b w:val="0"/>
          <w:sz w:val="27"/>
          <w:szCs w:val="27"/>
        </w:rPr>
        <w:t xml:space="preserve"> </w:t>
      </w:r>
      <w:r w:rsidR="007D7B88">
        <w:rPr>
          <w:rStyle w:val="Strong"/>
          <w:rFonts w:ascii="Arial" w:hAnsi="Arial" w:cs="Arial"/>
          <w:sz w:val="27"/>
          <w:szCs w:val="27"/>
        </w:rPr>
        <w:t>health care agent</w:t>
      </w:r>
      <w:r w:rsidR="007D7B88">
        <w:rPr>
          <w:rStyle w:val="Strong"/>
          <w:rFonts w:ascii="Arial" w:hAnsi="Arial" w:cs="Arial"/>
          <w:b w:val="0"/>
          <w:sz w:val="27"/>
          <w:szCs w:val="27"/>
        </w:rPr>
        <w:t xml:space="preserve">, or </w:t>
      </w:r>
      <w:r w:rsidR="00A1424D">
        <w:rPr>
          <w:rStyle w:val="Strong"/>
          <w:rFonts w:ascii="Arial" w:hAnsi="Arial" w:cs="Arial"/>
          <w:b w:val="0"/>
          <w:sz w:val="27"/>
          <w:szCs w:val="27"/>
        </w:rPr>
        <w:t>attorney-in-fact, is an individual selected to represent another’s best interests in regard to medical decisions. This position is established only if the principal (person receiving medical care) cannot make decisions for themselves; that is, a medical professional determines they are disabled or incapacitated in such a way that prevents them from forming sound judgments.</w:t>
      </w:r>
    </w:p>
    <w:p w14:paraId="25EB11D7" w14:textId="7191620B" w:rsidR="00A1424D" w:rsidRDefault="00616645" w:rsidP="007D7B88">
      <w:pPr>
        <w:pStyle w:val="NormalWeb"/>
        <w:rPr>
          <w:rFonts w:ascii="Arial" w:hAnsi="Arial" w:cs="Arial"/>
          <w:bCs/>
          <w:sz w:val="27"/>
          <w:szCs w:val="27"/>
        </w:rPr>
      </w:pPr>
      <w:hyperlink r:id="rId8" w:history="1">
        <w:r w:rsidR="00A1424D" w:rsidRPr="00976277">
          <w:rPr>
            <w:rStyle w:val="Hyperlink"/>
            <w:rFonts w:ascii="Arial" w:hAnsi="Arial" w:cs="Arial"/>
            <w:bCs/>
            <w:sz w:val="27"/>
            <w:szCs w:val="27"/>
          </w:rPr>
          <w:t>Durable Power of Attorney for Health Care</w:t>
        </w:r>
      </w:hyperlink>
      <w:r w:rsidR="00A1424D">
        <w:rPr>
          <w:rFonts w:ascii="Arial" w:hAnsi="Arial" w:cs="Arial"/>
          <w:bCs/>
          <w:sz w:val="27"/>
          <w:szCs w:val="27"/>
        </w:rPr>
        <w:t xml:space="preserve"> – This form must be completed by the principal and must include the name of the individual that they have selected as their attorney-in-fact for medical decisions. Instructions pertaining to the principal’s wishes should be provided on the </w:t>
      </w:r>
      <w:proofErr w:type="gramStart"/>
      <w:r w:rsidR="00A1424D">
        <w:rPr>
          <w:rFonts w:ascii="Arial" w:hAnsi="Arial" w:cs="Arial"/>
          <w:bCs/>
          <w:sz w:val="27"/>
          <w:szCs w:val="27"/>
        </w:rPr>
        <w:t>document</w:t>
      </w:r>
      <w:proofErr w:type="gramEnd"/>
      <w:r w:rsidR="00A1424D">
        <w:rPr>
          <w:rFonts w:ascii="Arial" w:hAnsi="Arial" w:cs="Arial"/>
          <w:bCs/>
          <w:sz w:val="27"/>
          <w:szCs w:val="27"/>
        </w:rPr>
        <w:t xml:space="preserve"> so the attorney knows what type of health care they wish to receive depending on their condition. </w:t>
      </w:r>
    </w:p>
    <w:p w14:paraId="67C027EF" w14:textId="1983C5FD" w:rsidR="007979B5" w:rsidRPr="007D7B88" w:rsidRDefault="007979B5" w:rsidP="007979B5">
      <w:pPr>
        <w:pStyle w:val="NormalWeb"/>
        <w:numPr>
          <w:ilvl w:val="0"/>
          <w:numId w:val="8"/>
        </w:numPr>
        <w:rPr>
          <w:rFonts w:ascii="Arial" w:hAnsi="Arial" w:cs="Arial"/>
          <w:bCs/>
          <w:sz w:val="27"/>
          <w:szCs w:val="27"/>
        </w:rPr>
      </w:pPr>
      <w:r>
        <w:rPr>
          <w:rFonts w:ascii="Arial" w:hAnsi="Arial" w:cs="Arial"/>
          <w:b/>
          <w:bCs/>
          <w:sz w:val="27"/>
          <w:szCs w:val="27"/>
        </w:rPr>
        <w:t>Signing Requirements</w:t>
      </w:r>
      <w:r>
        <w:rPr>
          <w:rFonts w:ascii="Arial" w:hAnsi="Arial" w:cs="Arial"/>
          <w:bCs/>
          <w:sz w:val="27"/>
          <w:szCs w:val="27"/>
        </w:rPr>
        <w:t xml:space="preserve"> (</w:t>
      </w:r>
      <w:hyperlink r:id="rId9" w:history="1">
        <w:r w:rsidRPr="00E224C2">
          <w:rPr>
            <w:rStyle w:val="Hyperlink"/>
            <w:rFonts w:ascii="Arial" w:hAnsi="Arial" w:cs="Arial"/>
            <w:bCs/>
            <w:sz w:val="27"/>
            <w:szCs w:val="27"/>
            <w:lang w:val="en-CA"/>
          </w:rPr>
          <w:t>§ 30-3404</w:t>
        </w:r>
      </w:hyperlink>
      <w:r>
        <w:rPr>
          <w:rFonts w:ascii="Arial" w:hAnsi="Arial" w:cs="Arial"/>
          <w:bCs/>
          <w:sz w:val="27"/>
          <w:szCs w:val="27"/>
          <w:lang w:val="en-CA"/>
        </w:rPr>
        <w:t xml:space="preserve">) – Two (2) witnesses OR a notary public. </w:t>
      </w:r>
    </w:p>
    <w:p w14:paraId="57866CBC" w14:textId="77777777" w:rsidR="00C4721A" w:rsidRDefault="00C4721A">
      <w:pPr>
        <w:pStyle w:val="Heading3"/>
        <w:rPr>
          <w:rStyle w:val="Strong"/>
          <w:rFonts w:ascii="Arial" w:hAnsi="Arial" w:cs="Arial"/>
          <w:b/>
          <w:bCs/>
          <w:sz w:val="32"/>
          <w:szCs w:val="32"/>
        </w:rPr>
      </w:pPr>
    </w:p>
    <w:p w14:paraId="58DEB19D" w14:textId="27C26E50" w:rsidR="00FF2F8B" w:rsidRDefault="00A9662C">
      <w:pPr>
        <w:pStyle w:val="Heading3"/>
      </w:pPr>
      <w:r>
        <w:rPr>
          <w:rStyle w:val="Strong"/>
          <w:rFonts w:ascii="Arial" w:hAnsi="Arial" w:cs="Arial"/>
          <w:b/>
          <w:bCs/>
          <w:sz w:val="32"/>
          <w:szCs w:val="32"/>
        </w:rPr>
        <w:t>Step 2</w:t>
      </w:r>
      <w:r w:rsidR="00E224C2">
        <w:rPr>
          <w:rStyle w:val="Strong"/>
          <w:rFonts w:ascii="Arial" w:hAnsi="Arial" w:cs="Arial"/>
          <w:b/>
          <w:bCs/>
          <w:sz w:val="32"/>
          <w:szCs w:val="32"/>
        </w:rPr>
        <w:t xml:space="preserve"> - Appoint Financial Agent</w:t>
      </w:r>
    </w:p>
    <w:p w14:paraId="1B4C1D12" w14:textId="77777777" w:rsidR="00C4721A" w:rsidRDefault="00C4721A">
      <w:pPr>
        <w:pStyle w:val="NormalWeb"/>
        <w:rPr>
          <w:rFonts w:ascii="Arial" w:hAnsi="Arial" w:cs="Arial"/>
          <w:sz w:val="27"/>
          <w:szCs w:val="27"/>
        </w:rPr>
      </w:pPr>
    </w:p>
    <w:p w14:paraId="35C8743C" w14:textId="011C92EF" w:rsidR="00523DD3" w:rsidRDefault="00F5507C" w:rsidP="0091662A">
      <w:pPr>
        <w:pStyle w:val="NormalWeb"/>
        <w:rPr>
          <w:rFonts w:ascii="Arial" w:hAnsi="Arial" w:cs="Arial"/>
          <w:sz w:val="27"/>
          <w:szCs w:val="27"/>
        </w:rPr>
      </w:pPr>
      <w:r>
        <w:rPr>
          <w:rFonts w:ascii="Arial" w:hAnsi="Arial" w:cs="Arial"/>
          <w:sz w:val="27"/>
          <w:szCs w:val="27"/>
        </w:rPr>
        <w:t xml:space="preserve">A </w:t>
      </w:r>
      <w:r w:rsidRPr="003F666E">
        <w:rPr>
          <w:rFonts w:ascii="Arial" w:hAnsi="Arial" w:cs="Arial"/>
          <w:b/>
          <w:sz w:val="27"/>
          <w:szCs w:val="27"/>
        </w:rPr>
        <w:t>financial</w:t>
      </w:r>
      <w:r>
        <w:rPr>
          <w:rFonts w:ascii="Arial" w:hAnsi="Arial" w:cs="Arial"/>
          <w:sz w:val="27"/>
          <w:szCs w:val="27"/>
        </w:rPr>
        <w:t xml:space="preserve"> </w:t>
      </w:r>
      <w:r w:rsidRPr="003F666E">
        <w:rPr>
          <w:rFonts w:ascii="Arial" w:hAnsi="Arial" w:cs="Arial"/>
          <w:b/>
          <w:sz w:val="27"/>
          <w:szCs w:val="27"/>
        </w:rPr>
        <w:t>agent</w:t>
      </w:r>
      <w:r>
        <w:rPr>
          <w:rFonts w:ascii="Arial" w:hAnsi="Arial" w:cs="Arial"/>
          <w:sz w:val="27"/>
          <w:szCs w:val="27"/>
        </w:rPr>
        <w:t>, or attorney-in-fact</w:t>
      </w:r>
      <w:r w:rsidR="00A63E9A">
        <w:rPr>
          <w:rFonts w:ascii="Arial" w:hAnsi="Arial" w:cs="Arial"/>
          <w:sz w:val="27"/>
          <w:szCs w:val="27"/>
        </w:rPr>
        <w:t>,</w:t>
      </w:r>
      <w:r>
        <w:rPr>
          <w:rFonts w:ascii="Arial" w:hAnsi="Arial" w:cs="Arial"/>
          <w:sz w:val="27"/>
          <w:szCs w:val="27"/>
        </w:rPr>
        <w:t xml:space="preserve"> is the person appointed by the principal to handle their financial affairs. </w:t>
      </w:r>
      <w:r w:rsidR="00703267">
        <w:rPr>
          <w:rFonts w:ascii="Arial" w:hAnsi="Arial" w:cs="Arial"/>
          <w:sz w:val="27"/>
          <w:szCs w:val="27"/>
        </w:rPr>
        <w:t xml:space="preserve">The agent’s </w:t>
      </w:r>
      <w:r>
        <w:rPr>
          <w:rFonts w:ascii="Arial" w:hAnsi="Arial" w:cs="Arial"/>
          <w:sz w:val="27"/>
          <w:szCs w:val="27"/>
        </w:rPr>
        <w:t>position</w:t>
      </w:r>
      <w:r w:rsidR="00703267">
        <w:rPr>
          <w:rFonts w:ascii="Arial" w:hAnsi="Arial" w:cs="Arial"/>
          <w:sz w:val="27"/>
          <w:szCs w:val="27"/>
        </w:rPr>
        <w:t xml:space="preserve"> is effective immediately unless state otherwise in the Durable (Financial) Power of Attorney. A financial agent b</w:t>
      </w:r>
      <w:r w:rsidR="00C93AB4">
        <w:rPr>
          <w:rFonts w:ascii="Arial" w:hAnsi="Arial" w:cs="Arial"/>
          <w:sz w:val="27"/>
          <w:szCs w:val="27"/>
        </w:rPr>
        <w:t>eco</w:t>
      </w:r>
      <w:r w:rsidR="00703267">
        <w:rPr>
          <w:rFonts w:ascii="Arial" w:hAnsi="Arial" w:cs="Arial"/>
          <w:sz w:val="27"/>
          <w:szCs w:val="27"/>
        </w:rPr>
        <w:t xml:space="preserve">mes invaluable particularly when the principal is unable to make important decisions for themselves. The agent should be a trusted individual who will act with the principal’s (and their family’s) best interests at heart. </w:t>
      </w:r>
    </w:p>
    <w:p w14:paraId="275FF595" w14:textId="01844B15" w:rsidR="00C93AB4" w:rsidRDefault="00616645" w:rsidP="0091662A">
      <w:pPr>
        <w:pStyle w:val="NormalWeb"/>
        <w:rPr>
          <w:rFonts w:ascii="Arial" w:hAnsi="Arial" w:cs="Arial"/>
          <w:sz w:val="27"/>
          <w:szCs w:val="27"/>
        </w:rPr>
      </w:pPr>
      <w:hyperlink r:id="rId10" w:history="1">
        <w:r w:rsidR="00C93AB4" w:rsidRPr="003F666E">
          <w:rPr>
            <w:rStyle w:val="Hyperlink"/>
            <w:rFonts w:ascii="Arial" w:hAnsi="Arial" w:cs="Arial"/>
            <w:sz w:val="27"/>
            <w:szCs w:val="27"/>
          </w:rPr>
          <w:t>Durable (Financial) Power of Attorney</w:t>
        </w:r>
      </w:hyperlink>
      <w:r w:rsidR="00C93AB4">
        <w:rPr>
          <w:rFonts w:ascii="Arial" w:hAnsi="Arial" w:cs="Arial"/>
          <w:sz w:val="27"/>
          <w:szCs w:val="27"/>
        </w:rPr>
        <w:t xml:space="preserve"> – A legal instrument designed to hand over control of a principal’s financial affairs to a financial agent. This form, once executed by the principals, grants the agent power over all financial matters even in the event the principal dies or becomes incapacitated. </w:t>
      </w:r>
    </w:p>
    <w:p w14:paraId="40E06BFC" w14:textId="73CC60C2" w:rsidR="009A18CA" w:rsidRPr="006A17D9" w:rsidRDefault="00305370" w:rsidP="009A18CA">
      <w:pPr>
        <w:pStyle w:val="NormalWeb"/>
        <w:numPr>
          <w:ilvl w:val="0"/>
          <w:numId w:val="6"/>
        </w:numPr>
        <w:rPr>
          <w:rFonts w:ascii="Arial" w:hAnsi="Arial" w:cs="Arial"/>
          <w:sz w:val="27"/>
          <w:szCs w:val="27"/>
        </w:rPr>
      </w:pPr>
      <w:r>
        <w:rPr>
          <w:rFonts w:ascii="Arial" w:hAnsi="Arial" w:cs="Arial"/>
          <w:b/>
          <w:sz w:val="27"/>
          <w:szCs w:val="27"/>
        </w:rPr>
        <w:lastRenderedPageBreak/>
        <w:t xml:space="preserve">Signing </w:t>
      </w:r>
      <w:r w:rsidR="001E3FA0">
        <w:rPr>
          <w:rFonts w:ascii="Arial" w:hAnsi="Arial" w:cs="Arial"/>
          <w:b/>
          <w:sz w:val="27"/>
          <w:szCs w:val="27"/>
        </w:rPr>
        <w:t>Requirements</w:t>
      </w:r>
      <w:r w:rsidR="001E3FA0">
        <w:rPr>
          <w:rFonts w:ascii="Arial" w:hAnsi="Arial" w:cs="Arial"/>
          <w:sz w:val="27"/>
          <w:szCs w:val="27"/>
        </w:rPr>
        <w:t xml:space="preserve"> (</w:t>
      </w:r>
      <w:hyperlink r:id="rId11" w:history="1">
        <w:r w:rsidR="001E3FA0" w:rsidRPr="003F666E">
          <w:rPr>
            <w:rStyle w:val="Hyperlink"/>
            <w:rFonts w:ascii="Arial" w:hAnsi="Arial" w:cs="Arial"/>
            <w:sz w:val="27"/>
            <w:szCs w:val="27"/>
            <w:lang w:val="en-CA"/>
          </w:rPr>
          <w:t>§ 30-4005</w:t>
        </w:r>
      </w:hyperlink>
      <w:r w:rsidR="001E3FA0">
        <w:rPr>
          <w:rFonts w:ascii="Arial" w:hAnsi="Arial" w:cs="Arial"/>
          <w:sz w:val="27"/>
          <w:szCs w:val="27"/>
          <w:lang w:val="en-CA"/>
        </w:rPr>
        <w:t xml:space="preserve">) – Must be acknowledged before a notary public or other authorized individual. </w:t>
      </w:r>
      <w:r>
        <w:rPr>
          <w:rFonts w:ascii="Arial" w:hAnsi="Arial" w:cs="Arial"/>
          <w:sz w:val="27"/>
          <w:szCs w:val="27"/>
          <w:lang w:val="en-CA"/>
        </w:rPr>
        <w:t xml:space="preserve"> </w:t>
      </w:r>
    </w:p>
    <w:p w14:paraId="21A4F147" w14:textId="0B160813" w:rsidR="0023237E" w:rsidRDefault="00A9662C" w:rsidP="00542C37">
      <w:pPr>
        <w:pStyle w:val="NormalWeb"/>
      </w:pPr>
      <w:r>
        <w:rPr>
          <w:rStyle w:val="Strong"/>
          <w:rFonts w:ascii="Arial" w:hAnsi="Arial" w:cs="Arial"/>
          <w:sz w:val="27"/>
          <w:szCs w:val="27"/>
        </w:rPr>
        <w:t>Financial Powers Allowed</w:t>
      </w:r>
      <w:r>
        <w:rPr>
          <w:rFonts w:ascii="Arial" w:hAnsi="Arial" w:cs="Arial"/>
          <w:sz w:val="27"/>
          <w:szCs w:val="27"/>
        </w:rPr>
        <w:t>:</w:t>
      </w:r>
    </w:p>
    <w:p w14:paraId="62515DBD"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Real property (</w:t>
      </w:r>
      <w:hyperlink r:id="rId12" w:tgtFrame="_blank" w:history="1">
        <w:r w:rsidRPr="00530FEF">
          <w:rPr>
            <w:rStyle w:val="Hyperlink"/>
            <w:rFonts w:ascii="Arial" w:hAnsi="Arial" w:cs="Arial"/>
            <w:sz w:val="27"/>
            <w:szCs w:val="27"/>
          </w:rPr>
          <w:t>§ 30-4027</w:t>
        </w:r>
      </w:hyperlink>
      <w:r w:rsidRPr="00530FEF">
        <w:rPr>
          <w:rFonts w:ascii="Arial" w:hAnsi="Arial" w:cs="Arial"/>
          <w:sz w:val="27"/>
          <w:szCs w:val="27"/>
        </w:rPr>
        <w:t>);</w:t>
      </w:r>
    </w:p>
    <w:p w14:paraId="6685F44C"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Tangible personal property (</w:t>
      </w:r>
      <w:hyperlink r:id="rId13" w:tgtFrame="_blank" w:history="1">
        <w:r w:rsidRPr="00530FEF">
          <w:rPr>
            <w:rStyle w:val="Hyperlink"/>
            <w:rFonts w:ascii="Arial" w:hAnsi="Arial" w:cs="Arial"/>
            <w:sz w:val="27"/>
            <w:szCs w:val="27"/>
          </w:rPr>
          <w:t>§ 30-4028</w:t>
        </w:r>
      </w:hyperlink>
      <w:r w:rsidRPr="00530FEF">
        <w:rPr>
          <w:rFonts w:ascii="Arial" w:hAnsi="Arial" w:cs="Arial"/>
          <w:sz w:val="27"/>
          <w:szCs w:val="27"/>
        </w:rPr>
        <w:t>);</w:t>
      </w:r>
    </w:p>
    <w:p w14:paraId="3BFA033E"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Stocks and bonds (</w:t>
      </w:r>
      <w:hyperlink r:id="rId14" w:tgtFrame="_blank" w:history="1">
        <w:r w:rsidRPr="00530FEF">
          <w:rPr>
            <w:rStyle w:val="Hyperlink"/>
            <w:rFonts w:ascii="Arial" w:hAnsi="Arial" w:cs="Arial"/>
            <w:sz w:val="27"/>
            <w:szCs w:val="27"/>
          </w:rPr>
          <w:t>§ 30-4029</w:t>
        </w:r>
      </w:hyperlink>
      <w:r w:rsidRPr="00530FEF">
        <w:rPr>
          <w:rFonts w:ascii="Arial" w:hAnsi="Arial" w:cs="Arial"/>
          <w:sz w:val="27"/>
          <w:szCs w:val="27"/>
        </w:rPr>
        <w:t>);</w:t>
      </w:r>
    </w:p>
    <w:p w14:paraId="015B3021"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Commodities and options (</w:t>
      </w:r>
      <w:hyperlink r:id="rId15" w:tgtFrame="_blank" w:history="1">
        <w:r w:rsidRPr="00530FEF">
          <w:rPr>
            <w:rStyle w:val="Hyperlink"/>
            <w:rFonts w:ascii="Arial" w:hAnsi="Arial" w:cs="Arial"/>
            <w:sz w:val="27"/>
            <w:szCs w:val="27"/>
          </w:rPr>
          <w:t>§ 30-4030</w:t>
        </w:r>
      </w:hyperlink>
      <w:r w:rsidRPr="00530FEF">
        <w:rPr>
          <w:rFonts w:ascii="Arial" w:hAnsi="Arial" w:cs="Arial"/>
          <w:sz w:val="27"/>
          <w:szCs w:val="27"/>
        </w:rPr>
        <w:t>);</w:t>
      </w:r>
    </w:p>
    <w:p w14:paraId="225203DC"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Banks and other financial institutions (</w:t>
      </w:r>
      <w:hyperlink r:id="rId16" w:tgtFrame="_blank" w:history="1">
        <w:r w:rsidRPr="00530FEF">
          <w:rPr>
            <w:rStyle w:val="Hyperlink"/>
            <w:rFonts w:ascii="Arial" w:hAnsi="Arial" w:cs="Arial"/>
            <w:sz w:val="27"/>
            <w:szCs w:val="27"/>
          </w:rPr>
          <w:t>§ 30-4031</w:t>
        </w:r>
      </w:hyperlink>
      <w:r w:rsidRPr="00530FEF">
        <w:rPr>
          <w:rFonts w:ascii="Arial" w:hAnsi="Arial" w:cs="Arial"/>
          <w:sz w:val="27"/>
          <w:szCs w:val="27"/>
        </w:rPr>
        <w:t>);</w:t>
      </w:r>
    </w:p>
    <w:p w14:paraId="3F6AC64C"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Operation of entity or business (</w:t>
      </w:r>
      <w:hyperlink r:id="rId17" w:tgtFrame="_blank" w:history="1">
        <w:r w:rsidRPr="00530FEF">
          <w:rPr>
            <w:rStyle w:val="Hyperlink"/>
            <w:rFonts w:ascii="Arial" w:hAnsi="Arial" w:cs="Arial"/>
            <w:sz w:val="27"/>
            <w:szCs w:val="27"/>
          </w:rPr>
          <w:t>§ 30-4032</w:t>
        </w:r>
      </w:hyperlink>
      <w:r w:rsidRPr="00530FEF">
        <w:rPr>
          <w:rFonts w:ascii="Arial" w:hAnsi="Arial" w:cs="Arial"/>
          <w:sz w:val="27"/>
          <w:szCs w:val="27"/>
        </w:rPr>
        <w:t>);</w:t>
      </w:r>
    </w:p>
    <w:p w14:paraId="7E461980"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Insurance and annuities (</w:t>
      </w:r>
      <w:hyperlink r:id="rId18" w:tgtFrame="_blank" w:history="1">
        <w:r w:rsidRPr="00530FEF">
          <w:rPr>
            <w:rStyle w:val="Hyperlink"/>
            <w:rFonts w:ascii="Arial" w:hAnsi="Arial" w:cs="Arial"/>
            <w:sz w:val="27"/>
            <w:szCs w:val="27"/>
          </w:rPr>
          <w:t>§ 30-4033</w:t>
        </w:r>
      </w:hyperlink>
      <w:r w:rsidRPr="00530FEF">
        <w:rPr>
          <w:rFonts w:ascii="Arial" w:hAnsi="Arial" w:cs="Arial"/>
          <w:sz w:val="27"/>
          <w:szCs w:val="27"/>
        </w:rPr>
        <w:t>);</w:t>
      </w:r>
    </w:p>
    <w:p w14:paraId="624D3B62"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Estates, trusts, and other beneficial interests (</w:t>
      </w:r>
      <w:hyperlink r:id="rId19" w:tgtFrame="_blank" w:history="1">
        <w:r w:rsidRPr="00530FEF">
          <w:rPr>
            <w:rStyle w:val="Hyperlink"/>
            <w:rFonts w:ascii="Arial" w:hAnsi="Arial" w:cs="Arial"/>
            <w:sz w:val="27"/>
            <w:szCs w:val="27"/>
          </w:rPr>
          <w:t>§ 30-4034</w:t>
        </w:r>
      </w:hyperlink>
      <w:r w:rsidRPr="00530FEF">
        <w:rPr>
          <w:rFonts w:ascii="Arial" w:hAnsi="Arial" w:cs="Arial"/>
          <w:sz w:val="27"/>
          <w:szCs w:val="27"/>
        </w:rPr>
        <w:t>);</w:t>
      </w:r>
    </w:p>
    <w:p w14:paraId="47EC106B"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Claims and litigation (</w:t>
      </w:r>
      <w:hyperlink r:id="rId20" w:tgtFrame="_blank" w:history="1">
        <w:r w:rsidRPr="00530FEF">
          <w:rPr>
            <w:rStyle w:val="Hyperlink"/>
            <w:rFonts w:ascii="Arial" w:hAnsi="Arial" w:cs="Arial"/>
            <w:sz w:val="27"/>
            <w:szCs w:val="27"/>
          </w:rPr>
          <w:t>§ 30-4035</w:t>
        </w:r>
      </w:hyperlink>
      <w:r w:rsidRPr="00530FEF">
        <w:rPr>
          <w:rFonts w:ascii="Arial" w:hAnsi="Arial" w:cs="Arial"/>
          <w:sz w:val="27"/>
          <w:szCs w:val="27"/>
        </w:rPr>
        <w:t>);</w:t>
      </w:r>
    </w:p>
    <w:p w14:paraId="463EAF57"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Personal and family maintenance (</w:t>
      </w:r>
      <w:hyperlink r:id="rId21" w:tgtFrame="_blank" w:history="1">
        <w:r w:rsidRPr="00530FEF">
          <w:rPr>
            <w:rStyle w:val="Hyperlink"/>
            <w:rFonts w:ascii="Arial" w:hAnsi="Arial" w:cs="Arial"/>
            <w:sz w:val="27"/>
            <w:szCs w:val="27"/>
          </w:rPr>
          <w:t>§ 30-4036</w:t>
        </w:r>
      </w:hyperlink>
      <w:r w:rsidRPr="00530FEF">
        <w:rPr>
          <w:rFonts w:ascii="Arial" w:hAnsi="Arial" w:cs="Arial"/>
          <w:sz w:val="27"/>
          <w:szCs w:val="27"/>
        </w:rPr>
        <w:t>);</w:t>
      </w:r>
    </w:p>
    <w:p w14:paraId="6DD9679B"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Benefits from governmental programs or civil or military service (</w:t>
      </w:r>
      <w:hyperlink r:id="rId22" w:tgtFrame="_blank" w:history="1">
        <w:r w:rsidRPr="00530FEF">
          <w:rPr>
            <w:rStyle w:val="Hyperlink"/>
            <w:rFonts w:ascii="Arial" w:hAnsi="Arial" w:cs="Arial"/>
            <w:sz w:val="27"/>
            <w:szCs w:val="27"/>
          </w:rPr>
          <w:t>§ 30-4037</w:t>
        </w:r>
      </w:hyperlink>
      <w:r w:rsidRPr="00530FEF">
        <w:rPr>
          <w:rFonts w:ascii="Arial" w:hAnsi="Arial" w:cs="Arial"/>
          <w:sz w:val="27"/>
          <w:szCs w:val="27"/>
        </w:rPr>
        <w:t>);</w:t>
      </w:r>
    </w:p>
    <w:p w14:paraId="48689EB1"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Retirement plans (</w:t>
      </w:r>
      <w:hyperlink r:id="rId23" w:tgtFrame="_blank" w:history="1">
        <w:r w:rsidRPr="00530FEF">
          <w:rPr>
            <w:rStyle w:val="Hyperlink"/>
            <w:rFonts w:ascii="Arial" w:hAnsi="Arial" w:cs="Arial"/>
            <w:sz w:val="27"/>
            <w:szCs w:val="27"/>
          </w:rPr>
          <w:t>§ 30-4038</w:t>
        </w:r>
      </w:hyperlink>
      <w:r w:rsidRPr="00530FEF">
        <w:rPr>
          <w:rFonts w:ascii="Arial" w:hAnsi="Arial" w:cs="Arial"/>
          <w:sz w:val="27"/>
          <w:szCs w:val="27"/>
        </w:rPr>
        <w:t>);</w:t>
      </w:r>
    </w:p>
    <w:p w14:paraId="709CD007"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Taxes (</w:t>
      </w:r>
      <w:hyperlink r:id="rId24" w:tgtFrame="_blank" w:history="1">
        <w:r w:rsidRPr="00530FEF">
          <w:rPr>
            <w:rStyle w:val="Hyperlink"/>
            <w:rFonts w:ascii="Arial" w:hAnsi="Arial" w:cs="Arial"/>
            <w:sz w:val="27"/>
            <w:szCs w:val="27"/>
          </w:rPr>
          <w:t>§ 30-4039</w:t>
        </w:r>
      </w:hyperlink>
      <w:r w:rsidRPr="00530FEF">
        <w:rPr>
          <w:rFonts w:ascii="Arial" w:hAnsi="Arial" w:cs="Arial"/>
          <w:sz w:val="27"/>
          <w:szCs w:val="27"/>
        </w:rPr>
        <w:t>); and</w:t>
      </w:r>
    </w:p>
    <w:p w14:paraId="4AE593AE" w14:textId="77777777" w:rsidR="00530FEF" w:rsidRPr="00530FEF" w:rsidRDefault="00530FEF" w:rsidP="00530FEF">
      <w:pPr>
        <w:numPr>
          <w:ilvl w:val="0"/>
          <w:numId w:val="10"/>
        </w:numPr>
        <w:suppressAutoHyphens w:val="0"/>
        <w:autoSpaceDN/>
        <w:spacing w:before="100" w:beforeAutospacing="1" w:after="100" w:afterAutospacing="1"/>
        <w:textAlignment w:val="auto"/>
        <w:rPr>
          <w:rFonts w:ascii="Arial" w:hAnsi="Arial" w:cs="Arial"/>
          <w:sz w:val="27"/>
          <w:szCs w:val="27"/>
        </w:rPr>
      </w:pPr>
      <w:r w:rsidRPr="00530FEF">
        <w:rPr>
          <w:rFonts w:ascii="Arial" w:hAnsi="Arial" w:cs="Arial"/>
          <w:sz w:val="27"/>
          <w:szCs w:val="27"/>
        </w:rPr>
        <w:t>Gifts (</w:t>
      </w:r>
      <w:hyperlink r:id="rId25" w:tgtFrame="_blank" w:history="1">
        <w:r w:rsidRPr="00530FEF">
          <w:rPr>
            <w:rStyle w:val="Hyperlink"/>
            <w:rFonts w:ascii="Arial" w:hAnsi="Arial" w:cs="Arial"/>
            <w:sz w:val="27"/>
            <w:szCs w:val="27"/>
          </w:rPr>
          <w:t>§ 30-4040</w:t>
        </w:r>
      </w:hyperlink>
      <w:r w:rsidRPr="00530FEF">
        <w:rPr>
          <w:rFonts w:ascii="Arial" w:hAnsi="Arial" w:cs="Arial"/>
          <w:sz w:val="27"/>
          <w:szCs w:val="27"/>
        </w:rPr>
        <w:t>).</w:t>
      </w:r>
      <w:bookmarkStart w:id="0" w:name="_GoBack"/>
      <w:bookmarkEnd w:id="0"/>
    </w:p>
    <w:p w14:paraId="53CC7848" w14:textId="77777777" w:rsidR="009A18CA" w:rsidRDefault="009A18CA">
      <w:pPr>
        <w:pStyle w:val="Heading3"/>
        <w:rPr>
          <w:rStyle w:val="Strong"/>
          <w:rFonts w:ascii="Arial" w:hAnsi="Arial" w:cs="Arial"/>
          <w:b/>
          <w:bCs/>
          <w:sz w:val="32"/>
          <w:szCs w:val="32"/>
        </w:rPr>
      </w:pPr>
    </w:p>
    <w:p w14:paraId="6F357759" w14:textId="1C390DA0" w:rsidR="00FF2F8B" w:rsidRDefault="00A9662C">
      <w:pPr>
        <w:pStyle w:val="Heading3"/>
      </w:pPr>
      <w:r>
        <w:rPr>
          <w:rStyle w:val="Strong"/>
          <w:rFonts w:ascii="Arial" w:hAnsi="Arial" w:cs="Arial"/>
          <w:b/>
          <w:bCs/>
          <w:sz w:val="32"/>
          <w:szCs w:val="32"/>
        </w:rPr>
        <w:t xml:space="preserve">Step 3 </w:t>
      </w:r>
      <w:r w:rsidR="00542C37">
        <w:rPr>
          <w:rStyle w:val="Strong"/>
          <w:rFonts w:ascii="Arial" w:hAnsi="Arial" w:cs="Arial"/>
          <w:b/>
          <w:bCs/>
          <w:sz w:val="32"/>
          <w:szCs w:val="32"/>
        </w:rPr>
        <w:t xml:space="preserve">- </w:t>
      </w:r>
      <w:r w:rsidR="00845E17">
        <w:rPr>
          <w:rStyle w:val="Strong"/>
          <w:rFonts w:ascii="Arial" w:hAnsi="Arial" w:cs="Arial"/>
          <w:b/>
          <w:bCs/>
          <w:sz w:val="32"/>
          <w:szCs w:val="32"/>
        </w:rPr>
        <w:t xml:space="preserve">Create </w:t>
      </w:r>
      <w:r w:rsidR="00542C37">
        <w:rPr>
          <w:rStyle w:val="Strong"/>
          <w:rFonts w:ascii="Arial" w:hAnsi="Arial" w:cs="Arial"/>
          <w:b/>
          <w:bCs/>
          <w:sz w:val="32"/>
          <w:szCs w:val="32"/>
        </w:rPr>
        <w:t>List of Assets</w:t>
      </w:r>
    </w:p>
    <w:p w14:paraId="32A7CEEC" w14:textId="77777777" w:rsidR="00C4721A" w:rsidRDefault="00C4721A">
      <w:pPr>
        <w:pStyle w:val="NormalWeb"/>
        <w:rPr>
          <w:rFonts w:ascii="Arial" w:hAnsi="Arial" w:cs="Arial"/>
          <w:sz w:val="27"/>
          <w:szCs w:val="27"/>
        </w:rPr>
      </w:pPr>
    </w:p>
    <w:p w14:paraId="7130780E" w14:textId="5284C791" w:rsidR="00FF2F8B" w:rsidRDefault="00845E17">
      <w:pPr>
        <w:pStyle w:val="NormalWeb"/>
      </w:pPr>
      <w:r>
        <w:rPr>
          <w:rFonts w:ascii="Arial" w:hAnsi="Arial" w:cs="Arial"/>
          <w:sz w:val="27"/>
          <w:szCs w:val="27"/>
        </w:rPr>
        <w:t xml:space="preserve">The principal should draft a list of all their assets, property, accounts, investments, debts, and liabilities to make sure nothing </w:t>
      </w:r>
      <w:r w:rsidR="00D65742">
        <w:rPr>
          <w:rFonts w:ascii="Arial" w:hAnsi="Arial" w:cs="Arial"/>
          <w:sz w:val="27"/>
          <w:szCs w:val="27"/>
        </w:rPr>
        <w:t xml:space="preserve">gets left out while creating their estate plan. A </w:t>
      </w:r>
      <w:hyperlink r:id="rId26" w:history="1">
        <w:r w:rsidR="00D65742" w:rsidRPr="00D65742">
          <w:rPr>
            <w:rStyle w:val="Hyperlink"/>
            <w:rFonts w:ascii="Arial" w:hAnsi="Arial" w:cs="Arial"/>
            <w:sz w:val="27"/>
            <w:szCs w:val="27"/>
          </w:rPr>
          <w:t>Current Assets List</w:t>
        </w:r>
      </w:hyperlink>
      <w:r w:rsidR="00D65742">
        <w:rPr>
          <w:rFonts w:ascii="Arial" w:hAnsi="Arial" w:cs="Arial"/>
          <w:sz w:val="27"/>
          <w:szCs w:val="27"/>
        </w:rPr>
        <w:t xml:space="preserve"> might be a helpful tool for this process. </w:t>
      </w:r>
    </w:p>
    <w:p w14:paraId="7C37CE22" w14:textId="77777777" w:rsidR="00C4721A" w:rsidRDefault="00C4721A">
      <w:pPr>
        <w:pStyle w:val="Heading3"/>
        <w:rPr>
          <w:rStyle w:val="Strong"/>
          <w:rFonts w:ascii="Arial" w:hAnsi="Arial" w:cs="Arial"/>
          <w:b/>
          <w:bCs/>
          <w:sz w:val="32"/>
          <w:szCs w:val="32"/>
        </w:rPr>
      </w:pPr>
    </w:p>
    <w:p w14:paraId="6B7AB27C" w14:textId="338E74CF" w:rsidR="00FF2F8B" w:rsidRDefault="00A9662C">
      <w:pPr>
        <w:pStyle w:val="Heading3"/>
      </w:pPr>
      <w:r>
        <w:rPr>
          <w:rStyle w:val="Strong"/>
          <w:rFonts w:ascii="Arial" w:hAnsi="Arial" w:cs="Arial"/>
          <w:b/>
          <w:bCs/>
          <w:sz w:val="32"/>
          <w:szCs w:val="32"/>
        </w:rPr>
        <w:t>Step 4 -</w:t>
      </w:r>
      <w:r w:rsidR="00012B11">
        <w:rPr>
          <w:rStyle w:val="Strong"/>
          <w:rFonts w:ascii="Arial" w:hAnsi="Arial" w:cs="Arial"/>
          <w:b/>
          <w:bCs/>
          <w:sz w:val="32"/>
          <w:szCs w:val="32"/>
        </w:rPr>
        <w:t xml:space="preserve"> </w:t>
      </w:r>
      <w:r w:rsidR="00B73558">
        <w:rPr>
          <w:rStyle w:val="Strong"/>
          <w:rFonts w:ascii="Arial" w:hAnsi="Arial" w:cs="Arial"/>
          <w:b/>
          <w:bCs/>
          <w:sz w:val="32"/>
          <w:szCs w:val="32"/>
        </w:rPr>
        <w:t xml:space="preserve">Choose </w:t>
      </w:r>
      <w:r w:rsidR="00012B11">
        <w:rPr>
          <w:rStyle w:val="Strong"/>
          <w:rFonts w:ascii="Arial" w:hAnsi="Arial" w:cs="Arial"/>
          <w:b/>
          <w:bCs/>
          <w:sz w:val="32"/>
          <w:szCs w:val="32"/>
        </w:rPr>
        <w:t>Beneficiaries</w:t>
      </w:r>
    </w:p>
    <w:p w14:paraId="0EE35B79" w14:textId="77777777" w:rsidR="00C4721A" w:rsidRDefault="00C4721A">
      <w:pPr>
        <w:pStyle w:val="NormalWeb"/>
        <w:rPr>
          <w:rFonts w:ascii="Arial" w:hAnsi="Arial" w:cs="Arial"/>
          <w:sz w:val="27"/>
          <w:szCs w:val="27"/>
        </w:rPr>
      </w:pPr>
    </w:p>
    <w:p w14:paraId="5D1E338F" w14:textId="7F95F99F" w:rsidR="00FF2F8B" w:rsidRPr="00012B11" w:rsidRDefault="00B73558">
      <w:pPr>
        <w:pStyle w:val="NormalWeb"/>
        <w:rPr>
          <w:rFonts w:ascii="Arial" w:hAnsi="Arial" w:cs="Arial"/>
          <w:sz w:val="27"/>
          <w:szCs w:val="27"/>
          <w:lang w:val="en-CA"/>
        </w:rPr>
      </w:pPr>
      <w:r>
        <w:rPr>
          <w:rFonts w:ascii="Arial" w:hAnsi="Arial" w:cs="Arial"/>
          <w:sz w:val="27"/>
          <w:szCs w:val="27"/>
        </w:rPr>
        <w:t xml:space="preserve">A </w:t>
      </w:r>
      <w:r>
        <w:rPr>
          <w:rFonts w:ascii="Arial" w:hAnsi="Arial" w:cs="Arial"/>
          <w:b/>
          <w:sz w:val="27"/>
          <w:szCs w:val="27"/>
        </w:rPr>
        <w:t>beneficiary</w:t>
      </w:r>
      <w:r>
        <w:rPr>
          <w:rFonts w:ascii="Arial" w:hAnsi="Arial" w:cs="Arial"/>
          <w:sz w:val="27"/>
          <w:szCs w:val="27"/>
        </w:rPr>
        <w:t xml:space="preserve">, or heir, is a person who will receive or benefit from a portion of the principal’s estate after their death. A principal should choose their beneficiaries </w:t>
      </w:r>
      <w:r w:rsidR="00C654C8">
        <w:rPr>
          <w:rFonts w:ascii="Arial" w:hAnsi="Arial" w:cs="Arial"/>
          <w:sz w:val="27"/>
          <w:szCs w:val="27"/>
        </w:rPr>
        <w:t>wisely and</w:t>
      </w:r>
      <w:r>
        <w:rPr>
          <w:rFonts w:ascii="Arial" w:hAnsi="Arial" w:cs="Arial"/>
          <w:sz w:val="27"/>
          <w:szCs w:val="27"/>
        </w:rPr>
        <w:t xml:space="preserve"> should think carefully when deciding what is a fair percentage or portion to bestow upon each heir. </w:t>
      </w:r>
      <w:r w:rsidR="00836D17">
        <w:rPr>
          <w:rFonts w:ascii="Arial" w:hAnsi="Arial" w:cs="Arial"/>
          <w:sz w:val="27"/>
          <w:szCs w:val="27"/>
          <w:lang w:val="en-CA"/>
        </w:rPr>
        <w:t xml:space="preserve"> </w:t>
      </w:r>
    </w:p>
    <w:p w14:paraId="7BCDC365" w14:textId="77777777" w:rsidR="00C4721A" w:rsidRDefault="00C4721A">
      <w:pPr>
        <w:pStyle w:val="Heading3"/>
        <w:rPr>
          <w:rStyle w:val="Strong"/>
          <w:rFonts w:ascii="Arial" w:hAnsi="Arial" w:cs="Arial"/>
          <w:b/>
          <w:bCs/>
          <w:sz w:val="32"/>
          <w:szCs w:val="32"/>
        </w:rPr>
      </w:pPr>
    </w:p>
    <w:p w14:paraId="6AACE02B" w14:textId="2E05D44F" w:rsidR="00FF2F8B" w:rsidRDefault="00A9662C">
      <w:pPr>
        <w:pStyle w:val="Heading3"/>
      </w:pPr>
      <w:r>
        <w:rPr>
          <w:rStyle w:val="Strong"/>
          <w:rFonts w:ascii="Arial" w:hAnsi="Arial" w:cs="Arial"/>
          <w:b/>
          <w:bCs/>
          <w:sz w:val="32"/>
          <w:szCs w:val="32"/>
        </w:rPr>
        <w:t xml:space="preserve">Step 5 - </w:t>
      </w:r>
      <w:r w:rsidR="009149D5">
        <w:rPr>
          <w:rStyle w:val="Strong"/>
          <w:rFonts w:ascii="Arial" w:hAnsi="Arial" w:cs="Arial"/>
          <w:b/>
          <w:bCs/>
          <w:sz w:val="32"/>
          <w:szCs w:val="32"/>
        </w:rPr>
        <w:t xml:space="preserve">Create a </w:t>
      </w:r>
      <w:r w:rsidR="00E03F02">
        <w:rPr>
          <w:rStyle w:val="Strong"/>
          <w:rFonts w:ascii="Arial" w:hAnsi="Arial" w:cs="Arial"/>
          <w:b/>
          <w:bCs/>
          <w:sz w:val="32"/>
          <w:szCs w:val="32"/>
        </w:rPr>
        <w:t xml:space="preserve">Last Will and Testament </w:t>
      </w:r>
      <w:r w:rsidR="009149D5">
        <w:rPr>
          <w:rStyle w:val="Strong"/>
          <w:rFonts w:ascii="Arial" w:hAnsi="Arial" w:cs="Arial"/>
          <w:b/>
          <w:bCs/>
          <w:sz w:val="32"/>
          <w:szCs w:val="32"/>
        </w:rPr>
        <w:t>or</w:t>
      </w:r>
      <w:r w:rsidR="00E03F02">
        <w:rPr>
          <w:rStyle w:val="Strong"/>
          <w:rFonts w:ascii="Arial" w:hAnsi="Arial" w:cs="Arial"/>
          <w:b/>
          <w:bCs/>
          <w:sz w:val="32"/>
          <w:szCs w:val="32"/>
        </w:rPr>
        <w:t xml:space="preserve"> Living Trust</w:t>
      </w:r>
    </w:p>
    <w:p w14:paraId="399A1327" w14:textId="77777777" w:rsidR="00C4721A" w:rsidRDefault="00C4721A">
      <w:pPr>
        <w:pStyle w:val="NormalWeb"/>
        <w:rPr>
          <w:rFonts w:ascii="Arial" w:hAnsi="Arial" w:cs="Arial"/>
          <w:sz w:val="27"/>
          <w:szCs w:val="27"/>
        </w:rPr>
      </w:pPr>
    </w:p>
    <w:p w14:paraId="2215B8C6" w14:textId="1683E8FE" w:rsidR="00D74E6B" w:rsidRDefault="009149D5" w:rsidP="009149D5">
      <w:pPr>
        <w:pStyle w:val="NormalWeb"/>
        <w:rPr>
          <w:rFonts w:ascii="Arial" w:hAnsi="Arial" w:cs="Arial"/>
          <w:sz w:val="27"/>
          <w:szCs w:val="27"/>
        </w:rPr>
      </w:pPr>
      <w:r>
        <w:rPr>
          <w:rFonts w:ascii="Arial" w:hAnsi="Arial" w:cs="Arial"/>
          <w:sz w:val="27"/>
          <w:szCs w:val="27"/>
        </w:rPr>
        <w:lastRenderedPageBreak/>
        <w:t>An essential stage in the estate planning process i</w:t>
      </w:r>
      <w:r w:rsidR="00490C08">
        <w:rPr>
          <w:rFonts w:ascii="Arial" w:hAnsi="Arial" w:cs="Arial"/>
          <w:sz w:val="27"/>
          <w:szCs w:val="27"/>
        </w:rPr>
        <w:t>s drafting a Last Will and Testament or a Living Trust</w:t>
      </w:r>
      <w:r w:rsidR="00351FBD">
        <w:rPr>
          <w:rFonts w:ascii="Arial" w:hAnsi="Arial" w:cs="Arial"/>
          <w:sz w:val="27"/>
          <w:szCs w:val="27"/>
        </w:rPr>
        <w:t xml:space="preserve">. Both documents are used to instruct representatives in how to distribute the principal’s assets after they die, but they each have their unique benefits and drawbacks. </w:t>
      </w:r>
    </w:p>
    <w:p w14:paraId="590A30BC" w14:textId="7A02A85B" w:rsidR="00D74E6B" w:rsidRDefault="00616645" w:rsidP="009149D5">
      <w:pPr>
        <w:pStyle w:val="NormalWeb"/>
        <w:rPr>
          <w:rFonts w:ascii="Arial" w:hAnsi="Arial" w:cs="Arial"/>
          <w:sz w:val="27"/>
          <w:szCs w:val="27"/>
        </w:rPr>
      </w:pPr>
      <w:hyperlink r:id="rId27" w:history="1">
        <w:r w:rsidR="00141779" w:rsidRPr="00EE349A">
          <w:rPr>
            <w:rStyle w:val="Hyperlink"/>
            <w:rFonts w:ascii="Arial" w:hAnsi="Arial" w:cs="Arial"/>
            <w:sz w:val="27"/>
            <w:szCs w:val="27"/>
          </w:rPr>
          <w:t>Last Will and Testament</w:t>
        </w:r>
      </w:hyperlink>
      <w:r w:rsidR="00141779">
        <w:rPr>
          <w:rFonts w:ascii="Arial" w:hAnsi="Arial" w:cs="Arial"/>
          <w:sz w:val="27"/>
          <w:szCs w:val="27"/>
        </w:rPr>
        <w:t xml:space="preserve"> – A document created by a person, “testator”, to convey their wishes regarding the </w:t>
      </w:r>
      <w:r w:rsidR="003F6851">
        <w:rPr>
          <w:rFonts w:ascii="Arial" w:hAnsi="Arial" w:cs="Arial"/>
          <w:sz w:val="27"/>
          <w:szCs w:val="27"/>
        </w:rPr>
        <w:t xml:space="preserve">distribution of their estate after they die. After the testator’s death, the executor is in charge of making sure each beneficiary receives their allotted portion of the estate. This estate planning document must go through probate court before the estate can be divided up. This can be a lengthy process, depending on the size of the estate and the amount of debt the testator had. A </w:t>
      </w:r>
      <w:hyperlink r:id="rId28" w:history="1">
        <w:r w:rsidR="003F6851" w:rsidRPr="00822419">
          <w:rPr>
            <w:rStyle w:val="Hyperlink"/>
            <w:rFonts w:ascii="Arial" w:hAnsi="Arial" w:cs="Arial"/>
            <w:sz w:val="27"/>
            <w:szCs w:val="27"/>
          </w:rPr>
          <w:t>Self-Proving Affidavit</w:t>
        </w:r>
      </w:hyperlink>
      <w:r w:rsidR="003F6851">
        <w:rPr>
          <w:rFonts w:ascii="Arial" w:hAnsi="Arial" w:cs="Arial"/>
          <w:sz w:val="27"/>
          <w:szCs w:val="27"/>
        </w:rPr>
        <w:t xml:space="preserve"> can be completed to speed up the probate process. </w:t>
      </w:r>
    </w:p>
    <w:p w14:paraId="4FDC7C69" w14:textId="14B48FD8" w:rsidR="00D74E6B" w:rsidRPr="005E6FA8" w:rsidRDefault="003F6851" w:rsidP="00D74E6B">
      <w:pPr>
        <w:pStyle w:val="NormalWeb"/>
        <w:numPr>
          <w:ilvl w:val="0"/>
          <w:numId w:val="6"/>
        </w:numPr>
        <w:rPr>
          <w:rFonts w:ascii="Arial" w:hAnsi="Arial" w:cs="Arial"/>
          <w:sz w:val="27"/>
          <w:szCs w:val="27"/>
        </w:rPr>
      </w:pPr>
      <w:r>
        <w:rPr>
          <w:rFonts w:ascii="Arial" w:hAnsi="Arial" w:cs="Arial"/>
          <w:b/>
          <w:sz w:val="27"/>
          <w:szCs w:val="27"/>
        </w:rPr>
        <w:t>Signing Requirements</w:t>
      </w:r>
      <w:r>
        <w:rPr>
          <w:rFonts w:ascii="Arial" w:hAnsi="Arial" w:cs="Arial"/>
          <w:sz w:val="27"/>
          <w:szCs w:val="27"/>
        </w:rPr>
        <w:t xml:space="preserve"> (</w:t>
      </w:r>
      <w:hyperlink r:id="rId29" w:history="1">
        <w:r w:rsidRPr="00822419">
          <w:rPr>
            <w:rStyle w:val="Hyperlink"/>
            <w:rFonts w:ascii="Arial" w:hAnsi="Arial" w:cs="Arial"/>
            <w:sz w:val="27"/>
            <w:szCs w:val="27"/>
            <w:lang w:val="fr-CA"/>
          </w:rPr>
          <w:t>§</w:t>
        </w:r>
        <w:r w:rsidRPr="00822419">
          <w:rPr>
            <w:rStyle w:val="Hyperlink"/>
            <w:rFonts w:ascii="Arial" w:hAnsi="Arial" w:cs="Arial"/>
            <w:sz w:val="27"/>
            <w:szCs w:val="27"/>
            <w:lang w:val="en-CA"/>
          </w:rPr>
          <w:t xml:space="preserve"> 30-2327</w:t>
        </w:r>
      </w:hyperlink>
      <w:r>
        <w:rPr>
          <w:rFonts w:ascii="Arial" w:hAnsi="Arial" w:cs="Arial"/>
          <w:sz w:val="27"/>
          <w:szCs w:val="27"/>
          <w:lang w:val="en-CA"/>
        </w:rPr>
        <w:t xml:space="preserve">) – Two (2) witnesses. </w:t>
      </w:r>
    </w:p>
    <w:p w14:paraId="5DFCF303" w14:textId="057309CB" w:rsidR="009C64FD" w:rsidRDefault="00616645" w:rsidP="00822419">
      <w:pPr>
        <w:pStyle w:val="NormalWeb"/>
        <w:rPr>
          <w:rFonts w:ascii="Arial" w:hAnsi="Arial" w:cs="Arial"/>
          <w:sz w:val="27"/>
          <w:szCs w:val="27"/>
        </w:rPr>
      </w:pPr>
      <w:hyperlink r:id="rId30" w:history="1">
        <w:r w:rsidR="00822419" w:rsidRPr="009C64FD">
          <w:rPr>
            <w:rStyle w:val="Hyperlink"/>
            <w:rFonts w:ascii="Arial" w:hAnsi="Arial" w:cs="Arial"/>
            <w:sz w:val="27"/>
            <w:szCs w:val="27"/>
          </w:rPr>
          <w:t>(Revocable) Living Trust</w:t>
        </w:r>
      </w:hyperlink>
      <w:r w:rsidR="00822419">
        <w:rPr>
          <w:rFonts w:ascii="Arial" w:hAnsi="Arial" w:cs="Arial"/>
          <w:sz w:val="27"/>
          <w:szCs w:val="27"/>
        </w:rPr>
        <w:t xml:space="preserve"> </w:t>
      </w:r>
      <w:r w:rsidR="00F11D30">
        <w:rPr>
          <w:rFonts w:ascii="Arial" w:hAnsi="Arial" w:cs="Arial"/>
          <w:sz w:val="27"/>
          <w:szCs w:val="27"/>
        </w:rPr>
        <w:t>–</w:t>
      </w:r>
      <w:r w:rsidR="00822419">
        <w:rPr>
          <w:rFonts w:ascii="Arial" w:hAnsi="Arial" w:cs="Arial"/>
          <w:sz w:val="27"/>
          <w:szCs w:val="27"/>
        </w:rPr>
        <w:t xml:space="preserve"> </w:t>
      </w:r>
      <w:r w:rsidR="00F11D30">
        <w:rPr>
          <w:rFonts w:ascii="Arial" w:hAnsi="Arial" w:cs="Arial"/>
          <w:sz w:val="27"/>
          <w:szCs w:val="27"/>
        </w:rPr>
        <w:t>Unlike a Will, a Revocable Living Trust is an entity to which the grantor (principal) will transfer ownership of their property and assets. The grantor continues to benefit from their estate while they’re alive and, after they die, the beneficiaries inherit their designated portion. A Living Trust can also contain instructions concerning the management of their estate in the event of incapacitation or disability. Furthermore, a Revocable Living Trust will not have to go through probate court after the grantor’s death. Instead, the trustee (or successor trustee if the grantor has appointed themselves trustee) will be able to carry out the grantors wishes without court approval</w:t>
      </w:r>
      <w:r w:rsidR="001E0264">
        <w:rPr>
          <w:rFonts w:ascii="Arial" w:hAnsi="Arial" w:cs="Arial"/>
          <w:sz w:val="27"/>
          <w:szCs w:val="27"/>
        </w:rPr>
        <w:t xml:space="preserve"> and while avoiding public record. </w:t>
      </w:r>
    </w:p>
    <w:p w14:paraId="40DE9CAB" w14:textId="22A558A0" w:rsidR="009C64FD" w:rsidRPr="00195F2D" w:rsidRDefault="009C64FD" w:rsidP="009C64FD">
      <w:pPr>
        <w:pStyle w:val="NormalWeb"/>
        <w:numPr>
          <w:ilvl w:val="0"/>
          <w:numId w:val="6"/>
        </w:numPr>
        <w:rPr>
          <w:rFonts w:ascii="Arial" w:hAnsi="Arial" w:cs="Arial"/>
          <w:sz w:val="27"/>
          <w:szCs w:val="27"/>
        </w:rPr>
      </w:pPr>
      <w:r>
        <w:rPr>
          <w:rFonts w:ascii="Arial" w:hAnsi="Arial" w:cs="Arial"/>
          <w:b/>
          <w:sz w:val="27"/>
          <w:szCs w:val="27"/>
        </w:rPr>
        <w:t>Signing Requirements</w:t>
      </w:r>
      <w:r>
        <w:rPr>
          <w:rFonts w:ascii="Arial" w:hAnsi="Arial" w:cs="Arial"/>
          <w:sz w:val="27"/>
          <w:szCs w:val="27"/>
        </w:rPr>
        <w:t xml:space="preserve"> – Not mentioned in State law; </w:t>
      </w:r>
      <w:r w:rsidR="00901CCE">
        <w:rPr>
          <w:rFonts w:ascii="Arial" w:hAnsi="Arial" w:cs="Arial"/>
          <w:sz w:val="27"/>
          <w:szCs w:val="27"/>
        </w:rPr>
        <w:t xml:space="preserve">a Self-Proving Affidavit (requires 2 witnesses) </w:t>
      </w:r>
      <w:r w:rsidR="005E5BD6">
        <w:rPr>
          <w:rFonts w:ascii="Arial" w:hAnsi="Arial" w:cs="Arial"/>
          <w:sz w:val="27"/>
          <w:szCs w:val="27"/>
        </w:rPr>
        <w:t>or</w:t>
      </w:r>
      <w:r w:rsidR="00901CCE">
        <w:rPr>
          <w:rFonts w:ascii="Arial" w:hAnsi="Arial" w:cs="Arial"/>
          <w:sz w:val="27"/>
          <w:szCs w:val="27"/>
        </w:rPr>
        <w:t xml:space="preserve"> a Notary Acknowledgement </w:t>
      </w:r>
      <w:r w:rsidR="005E5BD6">
        <w:rPr>
          <w:rFonts w:ascii="Arial" w:hAnsi="Arial" w:cs="Arial"/>
          <w:sz w:val="27"/>
          <w:szCs w:val="27"/>
        </w:rPr>
        <w:t>is</w:t>
      </w:r>
      <w:r w:rsidR="00901CCE">
        <w:rPr>
          <w:rFonts w:ascii="Arial" w:hAnsi="Arial" w:cs="Arial"/>
          <w:sz w:val="27"/>
          <w:szCs w:val="27"/>
        </w:rPr>
        <w:t xml:space="preserve"> highly recommended. </w:t>
      </w:r>
    </w:p>
    <w:p w14:paraId="5C46EA4A" w14:textId="77777777" w:rsidR="00C4721A" w:rsidRDefault="00C4721A">
      <w:pPr>
        <w:pStyle w:val="Heading3"/>
        <w:rPr>
          <w:rStyle w:val="Strong"/>
          <w:rFonts w:ascii="Arial" w:hAnsi="Arial" w:cs="Arial"/>
          <w:b/>
          <w:bCs/>
          <w:sz w:val="32"/>
          <w:szCs w:val="32"/>
        </w:rPr>
      </w:pPr>
    </w:p>
    <w:p w14:paraId="1E2D364A" w14:textId="0D29F9DD" w:rsidR="00FF2F8B" w:rsidRDefault="00A9662C">
      <w:pPr>
        <w:pStyle w:val="Heading3"/>
      </w:pPr>
      <w:r>
        <w:rPr>
          <w:rStyle w:val="Strong"/>
          <w:rFonts w:ascii="Arial" w:hAnsi="Arial" w:cs="Arial"/>
          <w:b/>
          <w:bCs/>
          <w:sz w:val="32"/>
          <w:szCs w:val="32"/>
        </w:rPr>
        <w:t>Step 6 - Stor</w:t>
      </w:r>
      <w:r w:rsidR="0076434E">
        <w:rPr>
          <w:rStyle w:val="Strong"/>
          <w:rFonts w:ascii="Arial" w:hAnsi="Arial" w:cs="Arial"/>
          <w:b/>
          <w:bCs/>
          <w:sz w:val="32"/>
          <w:szCs w:val="32"/>
        </w:rPr>
        <w:t xml:space="preserve">e </w:t>
      </w:r>
      <w:r>
        <w:rPr>
          <w:rStyle w:val="Strong"/>
          <w:rFonts w:ascii="Arial" w:hAnsi="Arial" w:cs="Arial"/>
          <w:b/>
          <w:bCs/>
          <w:sz w:val="32"/>
          <w:szCs w:val="32"/>
        </w:rPr>
        <w:t>Documents</w:t>
      </w:r>
    </w:p>
    <w:p w14:paraId="64ED54BF" w14:textId="77777777" w:rsidR="00C4721A" w:rsidRDefault="00C4721A">
      <w:pPr>
        <w:pStyle w:val="NormalWeb"/>
        <w:rPr>
          <w:rFonts w:ascii="Arial" w:hAnsi="Arial" w:cs="Arial"/>
          <w:sz w:val="27"/>
          <w:szCs w:val="27"/>
        </w:rPr>
      </w:pPr>
    </w:p>
    <w:p w14:paraId="591AEBF1" w14:textId="2B9A5154" w:rsidR="00FF2F8B" w:rsidRDefault="00420F58">
      <w:pPr>
        <w:pStyle w:val="NormalWeb"/>
        <w:rPr>
          <w:rFonts w:ascii="Arial" w:hAnsi="Arial" w:cs="Arial"/>
          <w:sz w:val="27"/>
          <w:szCs w:val="27"/>
        </w:rPr>
      </w:pPr>
      <w:r>
        <w:rPr>
          <w:rFonts w:ascii="Arial" w:hAnsi="Arial" w:cs="Arial"/>
          <w:sz w:val="27"/>
          <w:szCs w:val="27"/>
        </w:rPr>
        <w:t xml:space="preserve">Place the original copies of all estate planning documents into a safe or locked cabinet until they are needed. </w:t>
      </w:r>
      <w:r w:rsidR="00EF00A6">
        <w:rPr>
          <w:rFonts w:ascii="Arial" w:hAnsi="Arial" w:cs="Arial"/>
          <w:sz w:val="27"/>
          <w:szCs w:val="27"/>
        </w:rPr>
        <w:t xml:space="preserve">A trusted individual (agent or attorney) should be able to gain access to these documents should the principal die or become incapacitated. Safety deposit boxes should be avoided as a court order is required to open these, which may cause setbacks when it comes time to distribute the principal’s estate. </w:t>
      </w:r>
    </w:p>
    <w:p w14:paraId="78DA7389" w14:textId="77777777" w:rsidR="00FF2F8B" w:rsidRDefault="00FF2F8B">
      <w:pPr>
        <w:rPr>
          <w:rFonts w:ascii="Arial" w:hAnsi="Arial" w:cs="Arial"/>
          <w:sz w:val="27"/>
          <w:szCs w:val="27"/>
        </w:rPr>
      </w:pPr>
    </w:p>
    <w:sectPr w:rsidR="00FF2F8B">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70B9E" w14:textId="77777777" w:rsidR="00616645" w:rsidRDefault="00616645">
      <w:r>
        <w:separator/>
      </w:r>
    </w:p>
  </w:endnote>
  <w:endnote w:type="continuationSeparator" w:id="0">
    <w:p w14:paraId="0988F3CD" w14:textId="77777777" w:rsidR="00616645" w:rsidRDefault="0061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518F5" w14:textId="77777777" w:rsidR="00A43ED0" w:rsidRDefault="00A9662C">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78A8823D" wp14:editId="73996541">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78A8823D"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" filled="f" stroked="f">
              <v:textbox style="mso-fit-shape-to-text:t" inset="0,0,0,0">
                <w:txbxContent>
                  <w:p w14:paraId="2A41D7D6" w14:textId="77777777" w:rsidR="00A43ED0" w:rsidRDefault="00A9662C">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ECE5BA2" wp14:editId="224A6C7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9FCF" w14:textId="77777777" w:rsidR="00616645" w:rsidRDefault="00616645">
      <w:r>
        <w:rPr>
          <w:color w:val="000000"/>
        </w:rPr>
        <w:separator/>
      </w:r>
    </w:p>
  </w:footnote>
  <w:footnote w:type="continuationSeparator" w:id="0">
    <w:p w14:paraId="18414635" w14:textId="77777777" w:rsidR="00616645" w:rsidRDefault="0061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56"/>
    <w:multiLevelType w:val="hybridMultilevel"/>
    <w:tmpl w:val="6E58A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972951"/>
    <w:multiLevelType w:val="multilevel"/>
    <w:tmpl w:val="6B96C3C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DF32A89"/>
    <w:multiLevelType w:val="multilevel"/>
    <w:tmpl w:val="E3CE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4365F"/>
    <w:multiLevelType w:val="multilevel"/>
    <w:tmpl w:val="1EC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871E8"/>
    <w:multiLevelType w:val="multilevel"/>
    <w:tmpl w:val="474A47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A754E9C"/>
    <w:multiLevelType w:val="multilevel"/>
    <w:tmpl w:val="045ED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1C82528"/>
    <w:multiLevelType w:val="hybridMultilevel"/>
    <w:tmpl w:val="697AF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CD143B"/>
    <w:multiLevelType w:val="multilevel"/>
    <w:tmpl w:val="B67417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5F004EF9"/>
    <w:multiLevelType w:val="multilevel"/>
    <w:tmpl w:val="EF7E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D6F47"/>
    <w:multiLevelType w:val="multilevel"/>
    <w:tmpl w:val="71E00F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5"/>
  </w:num>
  <w:num w:numId="2">
    <w:abstractNumId w:val="7"/>
  </w:num>
  <w:num w:numId="3">
    <w:abstractNumId w:val="1"/>
  </w:num>
  <w:num w:numId="4">
    <w:abstractNumId w:val="9"/>
  </w:num>
  <w:num w:numId="5">
    <w:abstractNumId w:val="4"/>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B"/>
    <w:rsid w:val="00012B11"/>
    <w:rsid w:val="00037223"/>
    <w:rsid w:val="00076C90"/>
    <w:rsid w:val="000B5F38"/>
    <w:rsid w:val="000B73BE"/>
    <w:rsid w:val="000F07FA"/>
    <w:rsid w:val="00141779"/>
    <w:rsid w:val="00176C9F"/>
    <w:rsid w:val="00195F2D"/>
    <w:rsid w:val="001A2ADD"/>
    <w:rsid w:val="001E0264"/>
    <w:rsid w:val="001E3FA0"/>
    <w:rsid w:val="0020233B"/>
    <w:rsid w:val="0023237E"/>
    <w:rsid w:val="00252406"/>
    <w:rsid w:val="00257375"/>
    <w:rsid w:val="00305370"/>
    <w:rsid w:val="00351FBD"/>
    <w:rsid w:val="003A74E3"/>
    <w:rsid w:val="003D7B26"/>
    <w:rsid w:val="003F666E"/>
    <w:rsid w:val="003F6851"/>
    <w:rsid w:val="00407C06"/>
    <w:rsid w:val="00420F58"/>
    <w:rsid w:val="004457BE"/>
    <w:rsid w:val="00490C08"/>
    <w:rsid w:val="004976B9"/>
    <w:rsid w:val="00523DD3"/>
    <w:rsid w:val="00530FEF"/>
    <w:rsid w:val="00542C37"/>
    <w:rsid w:val="005647E9"/>
    <w:rsid w:val="005739F0"/>
    <w:rsid w:val="005E5BD6"/>
    <w:rsid w:val="005E6FA8"/>
    <w:rsid w:val="00616645"/>
    <w:rsid w:val="006A17D9"/>
    <w:rsid w:val="006A7801"/>
    <w:rsid w:val="006F580A"/>
    <w:rsid w:val="00703267"/>
    <w:rsid w:val="0076434E"/>
    <w:rsid w:val="007711AF"/>
    <w:rsid w:val="007979B5"/>
    <w:rsid w:val="007B4523"/>
    <w:rsid w:val="007D7B88"/>
    <w:rsid w:val="007F56A7"/>
    <w:rsid w:val="00822419"/>
    <w:rsid w:val="00823C44"/>
    <w:rsid w:val="00836D17"/>
    <w:rsid w:val="00845E17"/>
    <w:rsid w:val="008A08BE"/>
    <w:rsid w:val="008A56A8"/>
    <w:rsid w:val="00901CCE"/>
    <w:rsid w:val="009149D5"/>
    <w:rsid w:val="0091662A"/>
    <w:rsid w:val="00976277"/>
    <w:rsid w:val="009A18CA"/>
    <w:rsid w:val="009C4597"/>
    <w:rsid w:val="009C64FD"/>
    <w:rsid w:val="009D2A45"/>
    <w:rsid w:val="00A1424D"/>
    <w:rsid w:val="00A14FD8"/>
    <w:rsid w:val="00A2191F"/>
    <w:rsid w:val="00A63E9A"/>
    <w:rsid w:val="00A9662C"/>
    <w:rsid w:val="00B73558"/>
    <w:rsid w:val="00B921A0"/>
    <w:rsid w:val="00C4721A"/>
    <w:rsid w:val="00C654C8"/>
    <w:rsid w:val="00C93AB4"/>
    <w:rsid w:val="00C93CCF"/>
    <w:rsid w:val="00CE20C7"/>
    <w:rsid w:val="00D65742"/>
    <w:rsid w:val="00D74E6B"/>
    <w:rsid w:val="00DF0D79"/>
    <w:rsid w:val="00E03F02"/>
    <w:rsid w:val="00E05495"/>
    <w:rsid w:val="00E160DE"/>
    <w:rsid w:val="00E224C2"/>
    <w:rsid w:val="00E44E5B"/>
    <w:rsid w:val="00E64CB8"/>
    <w:rsid w:val="00EE349A"/>
    <w:rsid w:val="00EF00A6"/>
    <w:rsid w:val="00F11D30"/>
    <w:rsid w:val="00F32318"/>
    <w:rsid w:val="00F326EF"/>
    <w:rsid w:val="00F4652D"/>
    <w:rsid w:val="00F5507C"/>
    <w:rsid w:val="00FE514C"/>
    <w:rsid w:val="00FF2F8B"/>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C605"/>
  <w15:docId w15:val="{F224302D-E1DB-8241-86D3-3C71614F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rPr>
  </w:style>
  <w:style w:type="paragraph" w:styleId="Heading3">
    <w:name w:val="heading 3"/>
    <w:basedOn w:val="Normal"/>
    <w:uiPriority w:val="9"/>
    <w:unhideWhenUsed/>
    <w:qFormat/>
    <w:pPr>
      <w:spacing w:before="100" w:after="10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3Char">
    <w:name w:val="Heading 3 Char"/>
    <w:basedOn w:val="DefaultParagraphFont"/>
    <w:rPr>
      <w:rFonts w:ascii="Times New Roman" w:eastAsia="Times New Roman" w:hAnsi="Times New Roman" w:cs="Times New Roman"/>
      <w:b/>
      <w:bCs/>
      <w:sz w:val="27"/>
      <w:szCs w:val="27"/>
    </w:r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F4652D"/>
    <w:rPr>
      <w:color w:val="605E5C"/>
      <w:shd w:val="clear" w:color="auto" w:fill="E1DFDD"/>
    </w:rPr>
  </w:style>
  <w:style w:type="character" w:styleId="FollowedHyperlink">
    <w:name w:val="FollowedHyperlink"/>
    <w:basedOn w:val="DefaultParagraphFont"/>
    <w:uiPriority w:val="99"/>
    <w:semiHidden/>
    <w:unhideWhenUsed/>
    <w:rsid w:val="00A63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9361">
      <w:bodyDiv w:val="1"/>
      <w:marLeft w:val="0"/>
      <w:marRight w:val="0"/>
      <w:marTop w:val="0"/>
      <w:marBottom w:val="0"/>
      <w:divBdr>
        <w:top w:val="none" w:sz="0" w:space="0" w:color="auto"/>
        <w:left w:val="none" w:sz="0" w:space="0" w:color="auto"/>
        <w:bottom w:val="none" w:sz="0" w:space="0" w:color="auto"/>
        <w:right w:val="none" w:sz="0" w:space="0" w:color="auto"/>
      </w:divBdr>
    </w:div>
    <w:div w:id="261031172">
      <w:bodyDiv w:val="1"/>
      <w:marLeft w:val="0"/>
      <w:marRight w:val="0"/>
      <w:marTop w:val="0"/>
      <w:marBottom w:val="0"/>
      <w:divBdr>
        <w:top w:val="none" w:sz="0" w:space="0" w:color="auto"/>
        <w:left w:val="none" w:sz="0" w:space="0" w:color="auto"/>
        <w:bottom w:val="none" w:sz="0" w:space="0" w:color="auto"/>
        <w:right w:val="none" w:sz="0" w:space="0" w:color="auto"/>
      </w:divBdr>
    </w:div>
    <w:div w:id="901477128">
      <w:bodyDiv w:val="1"/>
      <w:marLeft w:val="0"/>
      <w:marRight w:val="0"/>
      <w:marTop w:val="0"/>
      <w:marBottom w:val="0"/>
      <w:divBdr>
        <w:top w:val="none" w:sz="0" w:space="0" w:color="auto"/>
        <w:left w:val="none" w:sz="0" w:space="0" w:color="auto"/>
        <w:bottom w:val="none" w:sz="0" w:space="0" w:color="auto"/>
        <w:right w:val="none" w:sz="0" w:space="0" w:color="auto"/>
      </w:divBdr>
    </w:div>
    <w:div w:id="923686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forms.com/power-of-attorney/ne/nebraska-durable-power-of-attorney-for-health-care/" TargetMode="External"/><Relationship Id="rId13" Type="http://schemas.openxmlformats.org/officeDocument/2006/relationships/hyperlink" Target="https://law.justia.com/codes/nebraska/2017/chapter-30/statute-30-4028/" TargetMode="External"/><Relationship Id="rId18" Type="http://schemas.openxmlformats.org/officeDocument/2006/relationships/hyperlink" Target="https://law.justia.com/codes/nebraska/2017/chapter-30/statute-30-4033/" TargetMode="External"/><Relationship Id="rId26" Type="http://schemas.openxmlformats.org/officeDocument/2006/relationships/hyperlink" Target="https://eforms.com/estate-planning/current-assets-list/" TargetMode="External"/><Relationship Id="rId3" Type="http://schemas.openxmlformats.org/officeDocument/2006/relationships/styles" Target="styles.xml"/><Relationship Id="rId21" Type="http://schemas.openxmlformats.org/officeDocument/2006/relationships/hyperlink" Target="https://law.justia.com/codes/nebraska/2017/chapter-30/statute-30-4036/" TargetMode="External"/><Relationship Id="rId7" Type="http://schemas.openxmlformats.org/officeDocument/2006/relationships/endnotes" Target="endnotes.xml"/><Relationship Id="rId12" Type="http://schemas.openxmlformats.org/officeDocument/2006/relationships/hyperlink" Target="https://law.justia.com/codes/nebraska/2017/chapter-30/statute-30-4027/" TargetMode="External"/><Relationship Id="rId17" Type="http://schemas.openxmlformats.org/officeDocument/2006/relationships/hyperlink" Target="https://law.justia.com/codes/nebraska/2017/chapter-30/statute-30-4032/" TargetMode="External"/><Relationship Id="rId25" Type="http://schemas.openxmlformats.org/officeDocument/2006/relationships/hyperlink" Target="https://law.justia.com/codes/nebraska/2017/chapter-30/statute-30-404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aw.justia.com/codes/nebraska/2017/chapter-30/statute-30-4031/" TargetMode="External"/><Relationship Id="rId20" Type="http://schemas.openxmlformats.org/officeDocument/2006/relationships/hyperlink" Target="https://law.justia.com/codes/nebraska/2017/chapter-30/statute-30-4035/" TargetMode="External"/><Relationship Id="rId29" Type="http://schemas.openxmlformats.org/officeDocument/2006/relationships/hyperlink" Target="https://law.justia.com/codes/nebraska/2017/chapter-30/statute-30-23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justia.com/codes/nebraska/2017/chapter-30/statute-30-4005/" TargetMode="External"/><Relationship Id="rId24" Type="http://schemas.openxmlformats.org/officeDocument/2006/relationships/hyperlink" Target="https://law.justia.com/codes/nebraska/2017/chapter-30/statute-30-403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aw.justia.com/codes/nebraska/2017/chapter-30/statute-30-4030/" TargetMode="External"/><Relationship Id="rId23" Type="http://schemas.openxmlformats.org/officeDocument/2006/relationships/hyperlink" Target="https://law.justia.com/codes/nebraska/2017/chapter-30/statute-30-4038/" TargetMode="External"/><Relationship Id="rId28" Type="http://schemas.openxmlformats.org/officeDocument/2006/relationships/hyperlink" Target="https://eforms.com/wills/self-proving-affidavit/ne/" TargetMode="External"/><Relationship Id="rId10" Type="http://schemas.openxmlformats.org/officeDocument/2006/relationships/hyperlink" Target="https://eforms.com/power-of-attorney/ne/nebraska-durable-statutory-power-of-attorney/" TargetMode="External"/><Relationship Id="rId19" Type="http://schemas.openxmlformats.org/officeDocument/2006/relationships/hyperlink" Target="https://law.justia.com/codes/nebraska/2017/chapter-30/statute-30-403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justia.com/codes/nebraska/2017/chapter-30/statute-30-3404/" TargetMode="External"/><Relationship Id="rId14" Type="http://schemas.openxmlformats.org/officeDocument/2006/relationships/hyperlink" Target="https://law.justia.com/codes/nebraska/2017/chapter-30/statute-30-4029/" TargetMode="External"/><Relationship Id="rId22" Type="http://schemas.openxmlformats.org/officeDocument/2006/relationships/hyperlink" Target="https://law.justia.com/codes/nebraska/2017/chapter-30/statute-30-4037/" TargetMode="External"/><Relationship Id="rId27" Type="http://schemas.openxmlformats.org/officeDocument/2006/relationships/hyperlink" Target="https://eforms.com/wills/nebraska-last-will-and-testament-template/" TargetMode="External"/><Relationship Id="rId30" Type="http://schemas.openxmlformats.org/officeDocument/2006/relationships/hyperlink" Target="https://eforms.com/living-trust/ne/nebraska-revocable-living-trust-f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CC741-A559-4D54-A38D-3E437FBB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Alabama Estate Planning Checklist</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Estate Planning Checklist</dc:title>
  <dc:subject/>
  <dc:creator>eForms</dc:creator>
  <dc:description/>
  <cp:lastModifiedBy>Jake Upex</cp:lastModifiedBy>
  <cp:revision>42</cp:revision>
  <dcterms:created xsi:type="dcterms:W3CDTF">2019-01-04T17:20:00Z</dcterms:created>
  <dcterms:modified xsi:type="dcterms:W3CDTF">2019-01-04T20:45:00Z</dcterms:modified>
</cp:coreProperties>
</file>