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DED6B" w14:textId="4E50F2C0" w:rsidR="00FF2F8B" w:rsidRDefault="00A72A0E">
      <w:pPr>
        <w:pStyle w:val="Heading1"/>
        <w:jc w:val="center"/>
        <w:rPr>
          <w:rFonts w:ascii="Arial" w:hAnsi="Arial" w:cs="Arial"/>
          <w:sz w:val="36"/>
          <w:szCs w:val="36"/>
        </w:rPr>
      </w:pPr>
      <w:r>
        <w:rPr>
          <w:rFonts w:ascii="Arial" w:hAnsi="Arial" w:cs="Arial"/>
          <w:sz w:val="36"/>
          <w:szCs w:val="36"/>
        </w:rPr>
        <w:t>NEVADA</w:t>
      </w:r>
      <w:r w:rsidR="00A9662C">
        <w:rPr>
          <w:rFonts w:ascii="Arial" w:hAnsi="Arial" w:cs="Arial"/>
          <w:sz w:val="36"/>
          <w:szCs w:val="36"/>
        </w:rPr>
        <w:t xml:space="preserve"> ESTATE PLANNING CHECKLIST</w:t>
      </w:r>
    </w:p>
    <w:p w14:paraId="78F43F35" w14:textId="77777777" w:rsidR="00C4721A" w:rsidRDefault="00C4721A" w:rsidP="00C4721A">
      <w:pPr>
        <w:pStyle w:val="NormalWeb"/>
        <w:rPr>
          <w:rFonts w:ascii="Arial" w:hAnsi="Arial" w:cs="Arial"/>
          <w:sz w:val="27"/>
          <w:szCs w:val="27"/>
        </w:rPr>
      </w:pPr>
    </w:p>
    <w:p w14:paraId="3EDDA28C" w14:textId="2B756254" w:rsidR="00C4721A" w:rsidRDefault="00A72A0E" w:rsidP="00C4721A">
      <w:pPr>
        <w:pStyle w:val="NormalWeb"/>
        <w:rPr>
          <w:rFonts w:ascii="Arial" w:hAnsi="Arial" w:cs="Arial"/>
          <w:sz w:val="27"/>
          <w:szCs w:val="27"/>
        </w:rPr>
      </w:pPr>
      <w:r>
        <w:rPr>
          <w:rFonts w:ascii="Arial" w:hAnsi="Arial" w:cs="Arial"/>
          <w:sz w:val="27"/>
          <w:szCs w:val="27"/>
        </w:rPr>
        <w:t>While the following instructions may prove useful during an estate planning process, it is highly recommended that an attorney be employed to provide counsel where necessary</w:t>
      </w:r>
      <w:r w:rsidR="00B921A0">
        <w:rPr>
          <w:rFonts w:ascii="Arial" w:hAnsi="Arial" w:cs="Arial"/>
          <w:sz w:val="27"/>
          <w:szCs w:val="27"/>
        </w:rPr>
        <w:t>.</w:t>
      </w:r>
      <w:r>
        <w:rPr>
          <w:rFonts w:ascii="Arial" w:hAnsi="Arial" w:cs="Arial"/>
          <w:sz w:val="27"/>
          <w:szCs w:val="27"/>
        </w:rPr>
        <w:t xml:space="preserve"> Each legal instrument </w:t>
      </w:r>
      <w:r w:rsidR="00173D0C">
        <w:rPr>
          <w:rFonts w:ascii="Arial" w:hAnsi="Arial" w:cs="Arial"/>
          <w:sz w:val="27"/>
          <w:szCs w:val="27"/>
        </w:rPr>
        <w:t>contained herein serves a different purpose and therefore</w:t>
      </w:r>
      <w:r w:rsidR="00D252AA">
        <w:rPr>
          <w:rFonts w:ascii="Arial" w:hAnsi="Arial" w:cs="Arial"/>
          <w:sz w:val="27"/>
          <w:szCs w:val="27"/>
        </w:rPr>
        <w:t xml:space="preserve"> won’t be appropriate for each individual. Choosing to exclude certain documents, or include documents not covered below, is up to the principal. </w:t>
      </w:r>
      <w:r w:rsidR="00B921A0">
        <w:rPr>
          <w:rFonts w:ascii="Arial" w:hAnsi="Arial" w:cs="Arial"/>
          <w:sz w:val="27"/>
          <w:szCs w:val="27"/>
        </w:rPr>
        <w:t xml:space="preserve"> </w:t>
      </w:r>
    </w:p>
    <w:p w14:paraId="4973C80C" w14:textId="77777777" w:rsidR="00C4721A" w:rsidRDefault="00C4721A">
      <w:pPr>
        <w:pStyle w:val="NormalWeb"/>
        <w:rPr>
          <w:rStyle w:val="Strong"/>
          <w:rFonts w:ascii="Arial" w:hAnsi="Arial" w:cs="Arial"/>
          <w:sz w:val="32"/>
          <w:szCs w:val="32"/>
        </w:rPr>
      </w:pPr>
    </w:p>
    <w:p w14:paraId="6E35C031" w14:textId="2A3F3DDF" w:rsidR="00C4721A" w:rsidRDefault="00A9662C">
      <w:pPr>
        <w:pStyle w:val="NormalWeb"/>
        <w:rPr>
          <w:rFonts w:ascii="Arial" w:hAnsi="Arial" w:cs="Arial"/>
          <w:sz w:val="27"/>
          <w:szCs w:val="27"/>
        </w:rPr>
      </w:pPr>
      <w:r>
        <w:rPr>
          <w:rStyle w:val="Strong"/>
          <w:rFonts w:ascii="Arial" w:hAnsi="Arial" w:cs="Arial"/>
          <w:sz w:val="32"/>
          <w:szCs w:val="32"/>
        </w:rPr>
        <w:t xml:space="preserve">Step 1 </w:t>
      </w:r>
      <w:r w:rsidR="007A20AF">
        <w:rPr>
          <w:rStyle w:val="Strong"/>
          <w:rFonts w:ascii="Arial" w:hAnsi="Arial" w:cs="Arial"/>
          <w:sz w:val="32"/>
          <w:szCs w:val="32"/>
        </w:rPr>
        <w:t>- Choose a Health Care Agent</w:t>
      </w:r>
    </w:p>
    <w:p w14:paraId="6A63F37D" w14:textId="77777777" w:rsidR="00C4721A" w:rsidRDefault="00C4721A">
      <w:pPr>
        <w:pStyle w:val="NormalWeb"/>
        <w:rPr>
          <w:rStyle w:val="Strong"/>
          <w:rFonts w:ascii="Arial" w:hAnsi="Arial" w:cs="Arial"/>
          <w:sz w:val="32"/>
          <w:szCs w:val="32"/>
        </w:rPr>
      </w:pPr>
    </w:p>
    <w:p w14:paraId="1DFEF3E1" w14:textId="76AF8C60" w:rsidR="00FF2F8B" w:rsidRDefault="00CC4803" w:rsidP="00FE514C">
      <w:pPr>
        <w:pStyle w:val="NormalWeb"/>
        <w:rPr>
          <w:rStyle w:val="Strong"/>
          <w:rFonts w:ascii="Arial" w:hAnsi="Arial" w:cs="Arial"/>
          <w:b w:val="0"/>
          <w:sz w:val="27"/>
          <w:szCs w:val="27"/>
        </w:rPr>
      </w:pPr>
      <w:r>
        <w:rPr>
          <w:rStyle w:val="Strong"/>
          <w:rFonts w:ascii="Arial" w:hAnsi="Arial" w:cs="Arial"/>
          <w:b w:val="0"/>
          <w:sz w:val="27"/>
          <w:szCs w:val="27"/>
        </w:rPr>
        <w:t xml:space="preserve">A </w:t>
      </w:r>
      <w:r w:rsidRPr="00F5654F">
        <w:rPr>
          <w:rStyle w:val="Strong"/>
          <w:rFonts w:ascii="Arial" w:hAnsi="Arial" w:cs="Arial"/>
          <w:sz w:val="27"/>
          <w:szCs w:val="27"/>
        </w:rPr>
        <w:t>health care agent</w:t>
      </w:r>
      <w:r>
        <w:rPr>
          <w:rStyle w:val="Strong"/>
          <w:rFonts w:ascii="Arial" w:hAnsi="Arial" w:cs="Arial"/>
          <w:b w:val="0"/>
          <w:sz w:val="27"/>
          <w:szCs w:val="27"/>
        </w:rPr>
        <w:t xml:space="preserve"> is an individual furnished with the task of making important medical decisions a patient (principal). An agent’s duties and obligations are laid out in a document (described below) and only come info effect if the principal is unable to weigh out the health care and medical treatments that have been suggested by a health care professional. </w:t>
      </w:r>
    </w:p>
    <w:p w14:paraId="47A94765" w14:textId="45B8DCAA" w:rsidR="00CC4803" w:rsidRDefault="00021D54" w:rsidP="00FE514C">
      <w:pPr>
        <w:pStyle w:val="NormalWeb"/>
        <w:rPr>
          <w:rFonts w:ascii="Arial" w:hAnsi="Arial" w:cs="Arial"/>
          <w:bCs/>
          <w:sz w:val="27"/>
          <w:szCs w:val="27"/>
        </w:rPr>
      </w:pPr>
      <w:hyperlink r:id="rId7" w:history="1">
        <w:r w:rsidR="00CC4803" w:rsidRPr="00E05DCA">
          <w:rPr>
            <w:rStyle w:val="Hyperlink"/>
            <w:rFonts w:ascii="Arial" w:hAnsi="Arial" w:cs="Arial"/>
            <w:bCs/>
            <w:sz w:val="27"/>
            <w:szCs w:val="27"/>
          </w:rPr>
          <w:t>Medical Power of Attorney</w:t>
        </w:r>
      </w:hyperlink>
      <w:r w:rsidR="00CC4803">
        <w:rPr>
          <w:rFonts w:ascii="Arial" w:hAnsi="Arial" w:cs="Arial"/>
          <w:bCs/>
          <w:sz w:val="27"/>
          <w:szCs w:val="27"/>
        </w:rPr>
        <w:t xml:space="preserve"> – This legal instrument authorizes a health care agent to communicate the principal’s wishes regarding health care in the event of </w:t>
      </w:r>
      <w:r w:rsidR="00BD7BD1">
        <w:rPr>
          <w:rFonts w:ascii="Arial" w:hAnsi="Arial" w:cs="Arial"/>
          <w:bCs/>
          <w:sz w:val="27"/>
          <w:szCs w:val="27"/>
        </w:rPr>
        <w:t>incapacitation</w:t>
      </w:r>
      <w:r w:rsidR="00CC4803">
        <w:rPr>
          <w:rFonts w:ascii="Arial" w:hAnsi="Arial" w:cs="Arial"/>
          <w:bCs/>
          <w:sz w:val="27"/>
          <w:szCs w:val="27"/>
        </w:rPr>
        <w:t xml:space="preserve"> or disability. The document is very thorough and allows the principal to convey their future </w:t>
      </w:r>
      <w:r w:rsidR="00BD7BD1">
        <w:rPr>
          <w:rFonts w:ascii="Arial" w:hAnsi="Arial" w:cs="Arial"/>
          <w:bCs/>
          <w:sz w:val="27"/>
          <w:szCs w:val="27"/>
        </w:rPr>
        <w:t xml:space="preserve">wishes in great detail. </w:t>
      </w:r>
    </w:p>
    <w:p w14:paraId="57866CBC" w14:textId="735A7FFD" w:rsidR="00C4721A" w:rsidRPr="00D30C7D" w:rsidRDefault="00FE514C" w:rsidP="00503787">
      <w:pPr>
        <w:pStyle w:val="NormalWeb"/>
        <w:numPr>
          <w:ilvl w:val="0"/>
          <w:numId w:val="6"/>
        </w:numPr>
        <w:rPr>
          <w:rFonts w:ascii="Arial" w:hAnsi="Arial" w:cs="Arial"/>
          <w:b/>
          <w:bCs/>
          <w:sz w:val="32"/>
          <w:szCs w:val="32"/>
        </w:rPr>
      </w:pPr>
      <w:r w:rsidRPr="00BD7BD1">
        <w:rPr>
          <w:rFonts w:ascii="Arial" w:hAnsi="Arial" w:cs="Arial"/>
          <w:b/>
          <w:bCs/>
          <w:sz w:val="27"/>
          <w:szCs w:val="27"/>
        </w:rPr>
        <w:t>Signing Requirements</w:t>
      </w:r>
      <w:r w:rsidR="00BD7BD1">
        <w:rPr>
          <w:rFonts w:ascii="Arial" w:hAnsi="Arial" w:cs="Arial"/>
          <w:bCs/>
          <w:sz w:val="27"/>
          <w:szCs w:val="27"/>
        </w:rPr>
        <w:t xml:space="preserve"> (</w:t>
      </w:r>
      <w:hyperlink r:id="rId8" w:history="1">
        <w:r w:rsidR="00BD7BD1" w:rsidRPr="00E05DCA">
          <w:rPr>
            <w:rStyle w:val="Hyperlink"/>
            <w:rFonts w:ascii="Arial" w:hAnsi="Arial" w:cs="Arial"/>
            <w:bCs/>
            <w:sz w:val="27"/>
            <w:szCs w:val="27"/>
            <w:lang w:val="en-CA"/>
          </w:rPr>
          <w:t>§ 162A.790</w:t>
        </w:r>
      </w:hyperlink>
      <w:r w:rsidR="00BD7BD1">
        <w:rPr>
          <w:rFonts w:ascii="Arial" w:hAnsi="Arial" w:cs="Arial"/>
          <w:bCs/>
          <w:sz w:val="27"/>
          <w:szCs w:val="27"/>
          <w:lang w:val="en-CA"/>
        </w:rPr>
        <w:t xml:space="preserve">) – Principal must sign in the presence of either a notary public OR two (2) witnesses (certain conditions apply). </w:t>
      </w:r>
    </w:p>
    <w:p w14:paraId="71ED131B" w14:textId="77777777" w:rsidR="00D30C7D" w:rsidRPr="00BD7BD1" w:rsidRDefault="00D30C7D" w:rsidP="00D30C7D">
      <w:pPr>
        <w:pStyle w:val="NormalWeb"/>
        <w:rPr>
          <w:rStyle w:val="Strong"/>
          <w:rFonts w:ascii="Arial" w:hAnsi="Arial" w:cs="Arial"/>
          <w:sz w:val="32"/>
          <w:szCs w:val="32"/>
        </w:rPr>
      </w:pPr>
    </w:p>
    <w:p w14:paraId="58DEB19D" w14:textId="6C7ACF4E" w:rsidR="00FF2F8B" w:rsidRDefault="00A9662C">
      <w:pPr>
        <w:pStyle w:val="Heading3"/>
      </w:pPr>
      <w:r>
        <w:rPr>
          <w:rStyle w:val="Strong"/>
          <w:rFonts w:ascii="Arial" w:hAnsi="Arial" w:cs="Arial"/>
          <w:b/>
          <w:bCs/>
          <w:sz w:val="32"/>
          <w:szCs w:val="32"/>
        </w:rPr>
        <w:t xml:space="preserve">Step 2 </w:t>
      </w:r>
      <w:r w:rsidR="00E05DCA">
        <w:rPr>
          <w:rStyle w:val="Strong"/>
          <w:rFonts w:ascii="Arial" w:hAnsi="Arial" w:cs="Arial"/>
          <w:b/>
          <w:bCs/>
          <w:sz w:val="32"/>
          <w:szCs w:val="32"/>
        </w:rPr>
        <w:t>- Choose a Financial Agent</w:t>
      </w:r>
    </w:p>
    <w:p w14:paraId="1B4C1D12" w14:textId="77777777" w:rsidR="00C4721A" w:rsidRDefault="00C4721A">
      <w:pPr>
        <w:pStyle w:val="NormalWeb"/>
        <w:rPr>
          <w:rFonts w:ascii="Arial" w:hAnsi="Arial" w:cs="Arial"/>
          <w:sz w:val="27"/>
          <w:szCs w:val="27"/>
        </w:rPr>
      </w:pPr>
    </w:p>
    <w:p w14:paraId="07FC020E" w14:textId="77777777" w:rsidR="00352CF7" w:rsidRDefault="0091662A" w:rsidP="00E05DCA">
      <w:pPr>
        <w:pStyle w:val="NormalWeb"/>
        <w:rPr>
          <w:rFonts w:ascii="Arial" w:hAnsi="Arial" w:cs="Arial"/>
          <w:sz w:val="27"/>
          <w:szCs w:val="27"/>
        </w:rPr>
      </w:pPr>
      <w:r>
        <w:rPr>
          <w:rFonts w:ascii="Arial" w:hAnsi="Arial" w:cs="Arial"/>
          <w:sz w:val="27"/>
          <w:szCs w:val="27"/>
        </w:rPr>
        <w:t xml:space="preserve">A </w:t>
      </w:r>
      <w:r>
        <w:rPr>
          <w:rFonts w:ascii="Arial" w:hAnsi="Arial" w:cs="Arial"/>
          <w:b/>
          <w:sz w:val="27"/>
          <w:szCs w:val="27"/>
        </w:rPr>
        <w:t>financial agent</w:t>
      </w:r>
      <w:r w:rsidR="00E05DCA">
        <w:rPr>
          <w:rFonts w:ascii="Arial" w:hAnsi="Arial" w:cs="Arial"/>
          <w:sz w:val="27"/>
          <w:szCs w:val="27"/>
        </w:rPr>
        <w:t>, or attorney-in-fact, is in charge of a principal’s finances (accounts, investments, real estate, personal property, taxes, etc.). Selecting a financial agent can give the principal peace of mind knowing their affairs will remain in order even if they are unable to take care of these matters themselves</w:t>
      </w:r>
      <w:r w:rsidR="005D2B0C">
        <w:rPr>
          <w:rFonts w:ascii="Arial" w:hAnsi="Arial" w:cs="Arial"/>
          <w:sz w:val="27"/>
          <w:szCs w:val="27"/>
        </w:rPr>
        <w:t xml:space="preserve">, i.e., they </w:t>
      </w:r>
      <w:r w:rsidR="00D354E7">
        <w:rPr>
          <w:rFonts w:ascii="Arial" w:hAnsi="Arial" w:cs="Arial"/>
          <w:sz w:val="27"/>
          <w:szCs w:val="27"/>
        </w:rPr>
        <w:t>succumb to</w:t>
      </w:r>
      <w:r w:rsidR="005D2B0C">
        <w:rPr>
          <w:rFonts w:ascii="Arial" w:hAnsi="Arial" w:cs="Arial"/>
          <w:sz w:val="27"/>
          <w:szCs w:val="27"/>
        </w:rPr>
        <w:t xml:space="preserve"> a disabling medical condition. </w:t>
      </w:r>
      <w:r w:rsidR="00352CF7">
        <w:rPr>
          <w:rFonts w:ascii="Arial" w:hAnsi="Arial" w:cs="Arial"/>
          <w:sz w:val="27"/>
          <w:szCs w:val="27"/>
        </w:rPr>
        <w:t xml:space="preserve">Typically a spouse or other trusted relative will be appointed this position. </w:t>
      </w:r>
    </w:p>
    <w:p w14:paraId="70EEB486" w14:textId="7BD173E0" w:rsidR="005C71A5" w:rsidRDefault="00021D54" w:rsidP="00E05DCA">
      <w:pPr>
        <w:pStyle w:val="NormalWeb"/>
        <w:rPr>
          <w:rFonts w:ascii="Arial" w:hAnsi="Arial" w:cs="Arial"/>
          <w:sz w:val="27"/>
          <w:szCs w:val="27"/>
        </w:rPr>
      </w:pPr>
      <w:hyperlink r:id="rId9" w:history="1">
        <w:r w:rsidR="00352CF7" w:rsidRPr="00262E96">
          <w:rPr>
            <w:rStyle w:val="Hyperlink"/>
            <w:rFonts w:ascii="Arial" w:hAnsi="Arial" w:cs="Arial"/>
            <w:sz w:val="27"/>
            <w:szCs w:val="27"/>
          </w:rPr>
          <w:t>Durable (Financial) Power of Attorney</w:t>
        </w:r>
      </w:hyperlink>
      <w:r w:rsidR="00352CF7">
        <w:rPr>
          <w:rFonts w:ascii="Arial" w:hAnsi="Arial" w:cs="Arial"/>
          <w:sz w:val="27"/>
          <w:szCs w:val="27"/>
        </w:rPr>
        <w:t xml:space="preserve"> – This form covers all the areas of the principal’s finances that will be under the agent’s control. Once executed, the agent appoint through this document will be able to make decisions for the </w:t>
      </w:r>
      <w:r w:rsidR="00352CF7">
        <w:rPr>
          <w:rFonts w:ascii="Arial" w:hAnsi="Arial" w:cs="Arial"/>
          <w:sz w:val="27"/>
          <w:szCs w:val="27"/>
        </w:rPr>
        <w:lastRenderedPageBreak/>
        <w:t xml:space="preserve">principal whether or not the principal is capable of making their own decisions. That is, the document becomes effective immediately once signed </w:t>
      </w:r>
      <w:r w:rsidR="005C71A5">
        <w:rPr>
          <w:rFonts w:ascii="Arial" w:hAnsi="Arial" w:cs="Arial"/>
          <w:sz w:val="27"/>
          <w:szCs w:val="27"/>
        </w:rPr>
        <w:t xml:space="preserve">by the principal (unless specifically mentioned in the POA) and remains effective in the event of incapacitation. </w:t>
      </w:r>
      <w:bookmarkStart w:id="0" w:name="_GoBack"/>
      <w:bookmarkEnd w:id="0"/>
    </w:p>
    <w:p w14:paraId="28F5082F" w14:textId="402C47F1" w:rsidR="00305370" w:rsidRPr="00523DD3" w:rsidRDefault="00305370" w:rsidP="005C71A5">
      <w:pPr>
        <w:pStyle w:val="NormalWeb"/>
        <w:numPr>
          <w:ilvl w:val="0"/>
          <w:numId w:val="6"/>
        </w:numPr>
        <w:rPr>
          <w:rFonts w:ascii="Arial" w:hAnsi="Arial" w:cs="Arial"/>
          <w:sz w:val="27"/>
          <w:szCs w:val="27"/>
        </w:rPr>
      </w:pPr>
      <w:r>
        <w:rPr>
          <w:rFonts w:ascii="Arial" w:hAnsi="Arial" w:cs="Arial"/>
          <w:b/>
          <w:sz w:val="27"/>
          <w:szCs w:val="27"/>
        </w:rPr>
        <w:t>Signing Requir</w:t>
      </w:r>
      <w:r w:rsidR="00474E29">
        <w:rPr>
          <w:rFonts w:ascii="Arial" w:hAnsi="Arial" w:cs="Arial"/>
          <w:b/>
          <w:sz w:val="27"/>
          <w:szCs w:val="27"/>
        </w:rPr>
        <w:t>ements</w:t>
      </w:r>
      <w:r w:rsidR="00474E29">
        <w:rPr>
          <w:rFonts w:ascii="Arial" w:hAnsi="Arial" w:cs="Arial"/>
          <w:sz w:val="27"/>
          <w:szCs w:val="27"/>
        </w:rPr>
        <w:t xml:space="preserve"> (</w:t>
      </w:r>
      <w:hyperlink r:id="rId10" w:history="1">
        <w:r w:rsidR="00262E96" w:rsidRPr="00262E96">
          <w:rPr>
            <w:rStyle w:val="Hyperlink"/>
            <w:rFonts w:ascii="Arial" w:hAnsi="Arial" w:cs="Arial"/>
            <w:sz w:val="27"/>
            <w:szCs w:val="27"/>
            <w:lang w:val="en-CA"/>
          </w:rPr>
          <w:t>§ 162A.220</w:t>
        </w:r>
      </w:hyperlink>
      <w:r w:rsidR="00262E96">
        <w:rPr>
          <w:rFonts w:ascii="Arial" w:hAnsi="Arial" w:cs="Arial"/>
          <w:sz w:val="27"/>
          <w:szCs w:val="27"/>
          <w:lang w:val="en-CA"/>
        </w:rPr>
        <w:t xml:space="preserve">) – Principal must sign in the presence of a notary public. </w:t>
      </w:r>
    </w:p>
    <w:p w14:paraId="09F2EDC1" w14:textId="42923A01" w:rsidR="00453D7D" w:rsidRPr="00D12573" w:rsidRDefault="00A9662C" w:rsidP="00542C37">
      <w:pPr>
        <w:pStyle w:val="NormalWeb"/>
        <w:rPr>
          <w:rFonts w:ascii="Arial" w:hAnsi="Arial" w:cs="Arial"/>
          <w:sz w:val="27"/>
          <w:szCs w:val="27"/>
        </w:rPr>
      </w:pPr>
      <w:r>
        <w:rPr>
          <w:rStyle w:val="Strong"/>
          <w:rFonts w:ascii="Arial" w:hAnsi="Arial" w:cs="Arial"/>
          <w:sz w:val="27"/>
          <w:szCs w:val="27"/>
        </w:rPr>
        <w:t>Financial Powers Allowed</w:t>
      </w:r>
      <w:r>
        <w:rPr>
          <w:rFonts w:ascii="Arial" w:hAnsi="Arial" w:cs="Arial"/>
          <w:sz w:val="27"/>
          <w:szCs w:val="27"/>
        </w:rPr>
        <w:t>:</w:t>
      </w:r>
    </w:p>
    <w:p w14:paraId="4E82C8E2" w14:textId="77777777" w:rsidR="00453D7D" w:rsidRPr="00453D7D" w:rsidRDefault="00453D7D" w:rsidP="00453D7D">
      <w:pPr>
        <w:numPr>
          <w:ilvl w:val="0"/>
          <w:numId w:val="8"/>
        </w:numPr>
        <w:suppressAutoHyphens w:val="0"/>
        <w:autoSpaceDN/>
        <w:spacing w:before="100" w:beforeAutospacing="1" w:after="100" w:afterAutospacing="1"/>
        <w:textAlignment w:val="auto"/>
        <w:rPr>
          <w:rFonts w:ascii="Arial" w:hAnsi="Arial" w:cs="Arial"/>
          <w:sz w:val="27"/>
          <w:szCs w:val="27"/>
        </w:rPr>
      </w:pPr>
      <w:r w:rsidRPr="00453D7D">
        <w:rPr>
          <w:rFonts w:ascii="Arial" w:hAnsi="Arial" w:cs="Arial"/>
          <w:sz w:val="27"/>
          <w:szCs w:val="27"/>
        </w:rPr>
        <w:t>Real property (</w:t>
      </w:r>
      <w:hyperlink r:id="rId11" w:tgtFrame="_blank" w:history="1">
        <w:r w:rsidRPr="00453D7D">
          <w:rPr>
            <w:rStyle w:val="Hyperlink"/>
            <w:rFonts w:ascii="Arial" w:hAnsi="Arial" w:cs="Arial"/>
            <w:sz w:val="27"/>
            <w:szCs w:val="27"/>
          </w:rPr>
          <w:t>§ 162A.480</w:t>
        </w:r>
      </w:hyperlink>
      <w:r w:rsidRPr="00453D7D">
        <w:rPr>
          <w:rFonts w:ascii="Arial" w:hAnsi="Arial" w:cs="Arial"/>
          <w:sz w:val="27"/>
          <w:szCs w:val="27"/>
        </w:rPr>
        <w:t>);</w:t>
      </w:r>
    </w:p>
    <w:p w14:paraId="0A6164BD" w14:textId="77777777" w:rsidR="00453D7D" w:rsidRPr="00453D7D" w:rsidRDefault="00453D7D" w:rsidP="00453D7D">
      <w:pPr>
        <w:numPr>
          <w:ilvl w:val="0"/>
          <w:numId w:val="8"/>
        </w:numPr>
        <w:suppressAutoHyphens w:val="0"/>
        <w:autoSpaceDN/>
        <w:spacing w:before="100" w:beforeAutospacing="1" w:after="100" w:afterAutospacing="1"/>
        <w:textAlignment w:val="auto"/>
        <w:rPr>
          <w:rFonts w:ascii="Arial" w:hAnsi="Arial" w:cs="Arial"/>
          <w:sz w:val="27"/>
          <w:szCs w:val="27"/>
        </w:rPr>
      </w:pPr>
      <w:r w:rsidRPr="00453D7D">
        <w:rPr>
          <w:rFonts w:ascii="Arial" w:hAnsi="Arial" w:cs="Arial"/>
          <w:sz w:val="27"/>
          <w:szCs w:val="27"/>
        </w:rPr>
        <w:t>Tangible personal property (</w:t>
      </w:r>
      <w:hyperlink r:id="rId12" w:tgtFrame="_blank" w:history="1">
        <w:r w:rsidRPr="00453D7D">
          <w:rPr>
            <w:rStyle w:val="Hyperlink"/>
            <w:rFonts w:ascii="Arial" w:hAnsi="Arial" w:cs="Arial"/>
            <w:sz w:val="27"/>
            <w:szCs w:val="27"/>
          </w:rPr>
          <w:t>§ 162A.490</w:t>
        </w:r>
      </w:hyperlink>
      <w:r w:rsidRPr="00453D7D">
        <w:rPr>
          <w:rFonts w:ascii="Arial" w:hAnsi="Arial" w:cs="Arial"/>
          <w:sz w:val="27"/>
          <w:szCs w:val="27"/>
        </w:rPr>
        <w:t>);</w:t>
      </w:r>
    </w:p>
    <w:p w14:paraId="556269F2" w14:textId="77777777" w:rsidR="00453D7D" w:rsidRPr="00453D7D" w:rsidRDefault="00453D7D" w:rsidP="00453D7D">
      <w:pPr>
        <w:numPr>
          <w:ilvl w:val="0"/>
          <w:numId w:val="8"/>
        </w:numPr>
        <w:suppressAutoHyphens w:val="0"/>
        <w:autoSpaceDN/>
        <w:spacing w:before="100" w:beforeAutospacing="1" w:after="100" w:afterAutospacing="1"/>
        <w:textAlignment w:val="auto"/>
        <w:rPr>
          <w:rFonts w:ascii="Arial" w:hAnsi="Arial" w:cs="Arial"/>
          <w:sz w:val="27"/>
          <w:szCs w:val="27"/>
        </w:rPr>
      </w:pPr>
      <w:r w:rsidRPr="00453D7D">
        <w:rPr>
          <w:rFonts w:ascii="Arial" w:hAnsi="Arial" w:cs="Arial"/>
          <w:sz w:val="27"/>
          <w:szCs w:val="27"/>
        </w:rPr>
        <w:t>Stocks and bonds (</w:t>
      </w:r>
      <w:hyperlink r:id="rId13" w:tgtFrame="_blank" w:history="1">
        <w:r w:rsidRPr="00453D7D">
          <w:rPr>
            <w:rStyle w:val="Hyperlink"/>
            <w:rFonts w:ascii="Arial" w:hAnsi="Arial" w:cs="Arial"/>
            <w:sz w:val="27"/>
            <w:szCs w:val="27"/>
          </w:rPr>
          <w:t>§ 162A.500</w:t>
        </w:r>
      </w:hyperlink>
      <w:r w:rsidRPr="00453D7D">
        <w:rPr>
          <w:rFonts w:ascii="Arial" w:hAnsi="Arial" w:cs="Arial"/>
          <w:sz w:val="27"/>
          <w:szCs w:val="27"/>
        </w:rPr>
        <w:t>);</w:t>
      </w:r>
    </w:p>
    <w:p w14:paraId="3B874719" w14:textId="77777777" w:rsidR="00453D7D" w:rsidRPr="00453D7D" w:rsidRDefault="00453D7D" w:rsidP="00453D7D">
      <w:pPr>
        <w:numPr>
          <w:ilvl w:val="0"/>
          <w:numId w:val="8"/>
        </w:numPr>
        <w:suppressAutoHyphens w:val="0"/>
        <w:autoSpaceDN/>
        <w:spacing w:before="100" w:beforeAutospacing="1" w:after="100" w:afterAutospacing="1"/>
        <w:textAlignment w:val="auto"/>
        <w:rPr>
          <w:rFonts w:ascii="Arial" w:hAnsi="Arial" w:cs="Arial"/>
          <w:sz w:val="27"/>
          <w:szCs w:val="27"/>
        </w:rPr>
      </w:pPr>
      <w:r w:rsidRPr="00453D7D">
        <w:rPr>
          <w:rFonts w:ascii="Arial" w:hAnsi="Arial" w:cs="Arial"/>
          <w:sz w:val="27"/>
          <w:szCs w:val="27"/>
        </w:rPr>
        <w:t>Commodities and options (</w:t>
      </w:r>
      <w:hyperlink r:id="rId14" w:tgtFrame="_blank" w:history="1">
        <w:r w:rsidRPr="00453D7D">
          <w:rPr>
            <w:rStyle w:val="Hyperlink"/>
            <w:rFonts w:ascii="Arial" w:hAnsi="Arial" w:cs="Arial"/>
            <w:sz w:val="27"/>
            <w:szCs w:val="27"/>
          </w:rPr>
          <w:t>§ 162A.510</w:t>
        </w:r>
      </w:hyperlink>
      <w:r w:rsidRPr="00453D7D">
        <w:rPr>
          <w:rFonts w:ascii="Arial" w:hAnsi="Arial" w:cs="Arial"/>
          <w:sz w:val="27"/>
          <w:szCs w:val="27"/>
        </w:rPr>
        <w:t>);</w:t>
      </w:r>
    </w:p>
    <w:p w14:paraId="4FBF7049" w14:textId="77777777" w:rsidR="00453D7D" w:rsidRPr="00453D7D" w:rsidRDefault="00453D7D" w:rsidP="00453D7D">
      <w:pPr>
        <w:numPr>
          <w:ilvl w:val="0"/>
          <w:numId w:val="8"/>
        </w:numPr>
        <w:suppressAutoHyphens w:val="0"/>
        <w:autoSpaceDN/>
        <w:spacing w:before="100" w:beforeAutospacing="1" w:after="100" w:afterAutospacing="1"/>
        <w:textAlignment w:val="auto"/>
        <w:rPr>
          <w:rFonts w:ascii="Arial" w:hAnsi="Arial" w:cs="Arial"/>
          <w:sz w:val="27"/>
          <w:szCs w:val="27"/>
        </w:rPr>
      </w:pPr>
      <w:r w:rsidRPr="00453D7D">
        <w:rPr>
          <w:rFonts w:ascii="Arial" w:hAnsi="Arial" w:cs="Arial"/>
          <w:sz w:val="27"/>
          <w:szCs w:val="27"/>
        </w:rPr>
        <w:t>Banks and other financial institutions (</w:t>
      </w:r>
      <w:hyperlink r:id="rId15" w:tgtFrame="_blank" w:history="1">
        <w:r w:rsidRPr="00453D7D">
          <w:rPr>
            <w:rStyle w:val="Hyperlink"/>
            <w:rFonts w:ascii="Arial" w:hAnsi="Arial" w:cs="Arial"/>
            <w:sz w:val="27"/>
            <w:szCs w:val="27"/>
          </w:rPr>
          <w:t>§ 162A.520</w:t>
        </w:r>
      </w:hyperlink>
      <w:r w:rsidRPr="00453D7D">
        <w:rPr>
          <w:rFonts w:ascii="Arial" w:hAnsi="Arial" w:cs="Arial"/>
          <w:sz w:val="27"/>
          <w:szCs w:val="27"/>
        </w:rPr>
        <w:t>);</w:t>
      </w:r>
    </w:p>
    <w:p w14:paraId="7E437110" w14:textId="77777777" w:rsidR="00453D7D" w:rsidRPr="00453D7D" w:rsidRDefault="00453D7D" w:rsidP="00453D7D">
      <w:pPr>
        <w:numPr>
          <w:ilvl w:val="0"/>
          <w:numId w:val="8"/>
        </w:numPr>
        <w:suppressAutoHyphens w:val="0"/>
        <w:autoSpaceDN/>
        <w:spacing w:before="100" w:beforeAutospacing="1" w:after="100" w:afterAutospacing="1"/>
        <w:textAlignment w:val="auto"/>
        <w:rPr>
          <w:rFonts w:ascii="Arial" w:hAnsi="Arial" w:cs="Arial"/>
          <w:sz w:val="27"/>
          <w:szCs w:val="27"/>
        </w:rPr>
      </w:pPr>
      <w:r w:rsidRPr="00453D7D">
        <w:rPr>
          <w:rFonts w:ascii="Arial" w:hAnsi="Arial" w:cs="Arial"/>
          <w:sz w:val="27"/>
          <w:szCs w:val="27"/>
        </w:rPr>
        <w:t>Operation of entity or business (</w:t>
      </w:r>
      <w:hyperlink r:id="rId16" w:tgtFrame="_blank" w:history="1">
        <w:r w:rsidRPr="00453D7D">
          <w:rPr>
            <w:rStyle w:val="Hyperlink"/>
            <w:rFonts w:ascii="Arial" w:hAnsi="Arial" w:cs="Arial"/>
            <w:sz w:val="27"/>
            <w:szCs w:val="27"/>
          </w:rPr>
          <w:t>§ 162A.530</w:t>
        </w:r>
      </w:hyperlink>
      <w:r w:rsidRPr="00453D7D">
        <w:rPr>
          <w:rFonts w:ascii="Arial" w:hAnsi="Arial" w:cs="Arial"/>
          <w:sz w:val="27"/>
          <w:szCs w:val="27"/>
        </w:rPr>
        <w:t>);</w:t>
      </w:r>
    </w:p>
    <w:p w14:paraId="7C557D20" w14:textId="77777777" w:rsidR="00453D7D" w:rsidRPr="00453D7D" w:rsidRDefault="00453D7D" w:rsidP="00453D7D">
      <w:pPr>
        <w:numPr>
          <w:ilvl w:val="0"/>
          <w:numId w:val="8"/>
        </w:numPr>
        <w:suppressAutoHyphens w:val="0"/>
        <w:autoSpaceDN/>
        <w:spacing w:before="100" w:beforeAutospacing="1" w:after="100" w:afterAutospacing="1"/>
        <w:textAlignment w:val="auto"/>
        <w:rPr>
          <w:rFonts w:ascii="Arial" w:hAnsi="Arial" w:cs="Arial"/>
          <w:sz w:val="27"/>
          <w:szCs w:val="27"/>
        </w:rPr>
      </w:pPr>
      <w:r w:rsidRPr="00453D7D">
        <w:rPr>
          <w:rFonts w:ascii="Arial" w:hAnsi="Arial" w:cs="Arial"/>
          <w:sz w:val="27"/>
          <w:szCs w:val="27"/>
        </w:rPr>
        <w:t>Insurance and annuities (</w:t>
      </w:r>
      <w:hyperlink r:id="rId17" w:tgtFrame="_blank" w:history="1">
        <w:r w:rsidRPr="00453D7D">
          <w:rPr>
            <w:rStyle w:val="Hyperlink"/>
            <w:rFonts w:ascii="Arial" w:hAnsi="Arial" w:cs="Arial"/>
            <w:sz w:val="27"/>
            <w:szCs w:val="27"/>
          </w:rPr>
          <w:t>§ 162A.540</w:t>
        </w:r>
      </w:hyperlink>
      <w:r w:rsidRPr="00453D7D">
        <w:rPr>
          <w:rFonts w:ascii="Arial" w:hAnsi="Arial" w:cs="Arial"/>
          <w:sz w:val="27"/>
          <w:szCs w:val="27"/>
        </w:rPr>
        <w:t>);</w:t>
      </w:r>
    </w:p>
    <w:p w14:paraId="76AE40D0" w14:textId="77777777" w:rsidR="00453D7D" w:rsidRPr="00453D7D" w:rsidRDefault="00453D7D" w:rsidP="00453D7D">
      <w:pPr>
        <w:numPr>
          <w:ilvl w:val="0"/>
          <w:numId w:val="8"/>
        </w:numPr>
        <w:suppressAutoHyphens w:val="0"/>
        <w:autoSpaceDN/>
        <w:spacing w:before="100" w:beforeAutospacing="1" w:after="100" w:afterAutospacing="1"/>
        <w:textAlignment w:val="auto"/>
        <w:rPr>
          <w:rFonts w:ascii="Arial" w:hAnsi="Arial" w:cs="Arial"/>
          <w:sz w:val="27"/>
          <w:szCs w:val="27"/>
        </w:rPr>
      </w:pPr>
      <w:r w:rsidRPr="00453D7D">
        <w:rPr>
          <w:rFonts w:ascii="Arial" w:hAnsi="Arial" w:cs="Arial"/>
          <w:sz w:val="27"/>
          <w:szCs w:val="27"/>
        </w:rPr>
        <w:t>Estates, trusts and other beneficial interests (</w:t>
      </w:r>
      <w:hyperlink r:id="rId18" w:tgtFrame="_blank" w:history="1">
        <w:r w:rsidRPr="00453D7D">
          <w:rPr>
            <w:rStyle w:val="Hyperlink"/>
            <w:rFonts w:ascii="Arial" w:hAnsi="Arial" w:cs="Arial"/>
            <w:sz w:val="27"/>
            <w:szCs w:val="27"/>
          </w:rPr>
          <w:t>§ 162A.550</w:t>
        </w:r>
      </w:hyperlink>
      <w:r w:rsidRPr="00453D7D">
        <w:rPr>
          <w:rFonts w:ascii="Arial" w:hAnsi="Arial" w:cs="Arial"/>
          <w:sz w:val="27"/>
          <w:szCs w:val="27"/>
        </w:rPr>
        <w:t>);</w:t>
      </w:r>
    </w:p>
    <w:p w14:paraId="15F96613" w14:textId="77777777" w:rsidR="00453D7D" w:rsidRPr="00453D7D" w:rsidRDefault="00453D7D" w:rsidP="00453D7D">
      <w:pPr>
        <w:numPr>
          <w:ilvl w:val="0"/>
          <w:numId w:val="8"/>
        </w:numPr>
        <w:suppressAutoHyphens w:val="0"/>
        <w:autoSpaceDN/>
        <w:spacing w:before="100" w:beforeAutospacing="1" w:after="100" w:afterAutospacing="1"/>
        <w:textAlignment w:val="auto"/>
        <w:rPr>
          <w:rFonts w:ascii="Arial" w:hAnsi="Arial" w:cs="Arial"/>
          <w:sz w:val="27"/>
          <w:szCs w:val="27"/>
        </w:rPr>
      </w:pPr>
      <w:r w:rsidRPr="00453D7D">
        <w:rPr>
          <w:rFonts w:ascii="Arial" w:hAnsi="Arial" w:cs="Arial"/>
          <w:sz w:val="27"/>
          <w:szCs w:val="27"/>
        </w:rPr>
        <w:t>Claims and litigation (</w:t>
      </w:r>
      <w:hyperlink r:id="rId19" w:tgtFrame="_blank" w:history="1">
        <w:r w:rsidRPr="00453D7D">
          <w:rPr>
            <w:rStyle w:val="Hyperlink"/>
            <w:rFonts w:ascii="Arial" w:hAnsi="Arial" w:cs="Arial"/>
            <w:sz w:val="27"/>
            <w:szCs w:val="27"/>
          </w:rPr>
          <w:t>§ 162A.560</w:t>
        </w:r>
      </w:hyperlink>
      <w:r w:rsidRPr="00453D7D">
        <w:rPr>
          <w:rFonts w:ascii="Arial" w:hAnsi="Arial" w:cs="Arial"/>
          <w:sz w:val="27"/>
          <w:szCs w:val="27"/>
        </w:rPr>
        <w:t>);</w:t>
      </w:r>
    </w:p>
    <w:p w14:paraId="1BCD99C8" w14:textId="77777777" w:rsidR="00453D7D" w:rsidRPr="00453D7D" w:rsidRDefault="00453D7D" w:rsidP="00453D7D">
      <w:pPr>
        <w:numPr>
          <w:ilvl w:val="0"/>
          <w:numId w:val="8"/>
        </w:numPr>
        <w:suppressAutoHyphens w:val="0"/>
        <w:autoSpaceDN/>
        <w:spacing w:before="100" w:beforeAutospacing="1" w:after="100" w:afterAutospacing="1"/>
        <w:textAlignment w:val="auto"/>
        <w:rPr>
          <w:rFonts w:ascii="Arial" w:hAnsi="Arial" w:cs="Arial"/>
          <w:sz w:val="27"/>
          <w:szCs w:val="27"/>
        </w:rPr>
      </w:pPr>
      <w:r w:rsidRPr="00453D7D">
        <w:rPr>
          <w:rFonts w:ascii="Arial" w:hAnsi="Arial" w:cs="Arial"/>
          <w:sz w:val="27"/>
          <w:szCs w:val="27"/>
        </w:rPr>
        <w:t>Personal and family maintenance (</w:t>
      </w:r>
      <w:hyperlink r:id="rId20" w:tgtFrame="_blank" w:history="1">
        <w:r w:rsidRPr="00453D7D">
          <w:rPr>
            <w:rStyle w:val="Hyperlink"/>
            <w:rFonts w:ascii="Arial" w:hAnsi="Arial" w:cs="Arial"/>
            <w:sz w:val="27"/>
            <w:szCs w:val="27"/>
          </w:rPr>
          <w:t>§ 162A.570</w:t>
        </w:r>
      </w:hyperlink>
      <w:r w:rsidRPr="00453D7D">
        <w:rPr>
          <w:rFonts w:ascii="Arial" w:hAnsi="Arial" w:cs="Arial"/>
          <w:sz w:val="27"/>
          <w:szCs w:val="27"/>
        </w:rPr>
        <w:t>);</w:t>
      </w:r>
    </w:p>
    <w:p w14:paraId="39914DF2" w14:textId="77777777" w:rsidR="00453D7D" w:rsidRPr="00453D7D" w:rsidRDefault="00453D7D" w:rsidP="00453D7D">
      <w:pPr>
        <w:numPr>
          <w:ilvl w:val="0"/>
          <w:numId w:val="8"/>
        </w:numPr>
        <w:suppressAutoHyphens w:val="0"/>
        <w:autoSpaceDN/>
        <w:spacing w:before="100" w:beforeAutospacing="1" w:after="100" w:afterAutospacing="1"/>
        <w:textAlignment w:val="auto"/>
        <w:rPr>
          <w:rFonts w:ascii="Arial" w:hAnsi="Arial" w:cs="Arial"/>
          <w:sz w:val="27"/>
          <w:szCs w:val="27"/>
        </w:rPr>
      </w:pPr>
      <w:r w:rsidRPr="00453D7D">
        <w:rPr>
          <w:rFonts w:ascii="Arial" w:hAnsi="Arial" w:cs="Arial"/>
          <w:sz w:val="27"/>
          <w:szCs w:val="27"/>
        </w:rPr>
        <w:t>Benefits from governmental programs or civil or military service (</w:t>
      </w:r>
      <w:hyperlink r:id="rId21" w:tgtFrame="_blank" w:history="1">
        <w:r w:rsidRPr="00453D7D">
          <w:rPr>
            <w:rStyle w:val="Hyperlink"/>
            <w:rFonts w:ascii="Arial" w:hAnsi="Arial" w:cs="Arial"/>
            <w:sz w:val="27"/>
            <w:szCs w:val="27"/>
          </w:rPr>
          <w:t>§ 162A.580</w:t>
        </w:r>
      </w:hyperlink>
      <w:r w:rsidRPr="00453D7D">
        <w:rPr>
          <w:rFonts w:ascii="Arial" w:hAnsi="Arial" w:cs="Arial"/>
          <w:sz w:val="27"/>
          <w:szCs w:val="27"/>
        </w:rPr>
        <w:t>);</w:t>
      </w:r>
    </w:p>
    <w:p w14:paraId="166810E9" w14:textId="77777777" w:rsidR="00453D7D" w:rsidRPr="00453D7D" w:rsidRDefault="00453D7D" w:rsidP="00453D7D">
      <w:pPr>
        <w:numPr>
          <w:ilvl w:val="0"/>
          <w:numId w:val="8"/>
        </w:numPr>
        <w:suppressAutoHyphens w:val="0"/>
        <w:autoSpaceDN/>
        <w:spacing w:before="100" w:beforeAutospacing="1" w:after="100" w:afterAutospacing="1"/>
        <w:textAlignment w:val="auto"/>
        <w:rPr>
          <w:rFonts w:ascii="Arial" w:hAnsi="Arial" w:cs="Arial"/>
          <w:sz w:val="27"/>
          <w:szCs w:val="27"/>
        </w:rPr>
      </w:pPr>
      <w:r w:rsidRPr="00453D7D">
        <w:rPr>
          <w:rFonts w:ascii="Arial" w:hAnsi="Arial" w:cs="Arial"/>
          <w:sz w:val="27"/>
          <w:szCs w:val="27"/>
        </w:rPr>
        <w:t>Retirement plans (</w:t>
      </w:r>
      <w:hyperlink r:id="rId22" w:tgtFrame="_blank" w:history="1">
        <w:r w:rsidRPr="00453D7D">
          <w:rPr>
            <w:rStyle w:val="Hyperlink"/>
            <w:rFonts w:ascii="Arial" w:hAnsi="Arial" w:cs="Arial"/>
            <w:sz w:val="27"/>
            <w:szCs w:val="27"/>
          </w:rPr>
          <w:t>§ 162A.590</w:t>
        </w:r>
      </w:hyperlink>
      <w:r w:rsidRPr="00453D7D">
        <w:rPr>
          <w:rFonts w:ascii="Arial" w:hAnsi="Arial" w:cs="Arial"/>
          <w:sz w:val="27"/>
          <w:szCs w:val="27"/>
        </w:rPr>
        <w:t>);</w:t>
      </w:r>
    </w:p>
    <w:p w14:paraId="315D85E0" w14:textId="77777777" w:rsidR="00453D7D" w:rsidRPr="00453D7D" w:rsidRDefault="00453D7D" w:rsidP="00453D7D">
      <w:pPr>
        <w:numPr>
          <w:ilvl w:val="0"/>
          <w:numId w:val="8"/>
        </w:numPr>
        <w:suppressAutoHyphens w:val="0"/>
        <w:autoSpaceDN/>
        <w:spacing w:before="100" w:beforeAutospacing="1" w:after="100" w:afterAutospacing="1"/>
        <w:textAlignment w:val="auto"/>
        <w:rPr>
          <w:rFonts w:ascii="Arial" w:hAnsi="Arial" w:cs="Arial"/>
          <w:sz w:val="27"/>
          <w:szCs w:val="27"/>
        </w:rPr>
      </w:pPr>
      <w:r w:rsidRPr="00453D7D">
        <w:rPr>
          <w:rFonts w:ascii="Arial" w:hAnsi="Arial" w:cs="Arial"/>
          <w:sz w:val="27"/>
          <w:szCs w:val="27"/>
        </w:rPr>
        <w:t>Taxes (</w:t>
      </w:r>
      <w:hyperlink r:id="rId23" w:tgtFrame="_blank" w:history="1">
        <w:r w:rsidRPr="00453D7D">
          <w:rPr>
            <w:rStyle w:val="Hyperlink"/>
            <w:rFonts w:ascii="Arial" w:hAnsi="Arial" w:cs="Arial"/>
            <w:sz w:val="27"/>
            <w:szCs w:val="27"/>
          </w:rPr>
          <w:t>§ 162A.600</w:t>
        </w:r>
      </w:hyperlink>
      <w:r w:rsidRPr="00453D7D">
        <w:rPr>
          <w:rFonts w:ascii="Arial" w:hAnsi="Arial" w:cs="Arial"/>
          <w:sz w:val="27"/>
          <w:szCs w:val="27"/>
        </w:rPr>
        <w:t>); and</w:t>
      </w:r>
    </w:p>
    <w:p w14:paraId="23D61BEA" w14:textId="1D5131EA" w:rsidR="00453D7D" w:rsidRPr="00453D7D" w:rsidRDefault="00453D7D" w:rsidP="00542C37">
      <w:pPr>
        <w:numPr>
          <w:ilvl w:val="0"/>
          <w:numId w:val="8"/>
        </w:numPr>
        <w:suppressAutoHyphens w:val="0"/>
        <w:autoSpaceDN/>
        <w:spacing w:before="100" w:beforeAutospacing="1" w:after="100" w:afterAutospacing="1"/>
        <w:textAlignment w:val="auto"/>
        <w:rPr>
          <w:rFonts w:ascii="Arial" w:hAnsi="Arial" w:cs="Arial"/>
          <w:sz w:val="27"/>
          <w:szCs w:val="27"/>
        </w:rPr>
      </w:pPr>
      <w:r w:rsidRPr="00453D7D">
        <w:rPr>
          <w:rFonts w:ascii="Arial" w:hAnsi="Arial" w:cs="Arial"/>
          <w:sz w:val="27"/>
          <w:szCs w:val="27"/>
        </w:rPr>
        <w:t>Gifts (</w:t>
      </w:r>
      <w:hyperlink r:id="rId24" w:tgtFrame="_blank" w:history="1">
        <w:r w:rsidRPr="00453D7D">
          <w:rPr>
            <w:rStyle w:val="Hyperlink"/>
            <w:rFonts w:ascii="Arial" w:hAnsi="Arial" w:cs="Arial"/>
            <w:sz w:val="27"/>
            <w:szCs w:val="27"/>
          </w:rPr>
          <w:t>§ 162A.610</w:t>
        </w:r>
      </w:hyperlink>
      <w:r w:rsidRPr="00453D7D">
        <w:rPr>
          <w:rFonts w:ascii="Arial" w:hAnsi="Arial" w:cs="Arial"/>
          <w:sz w:val="27"/>
          <w:szCs w:val="27"/>
        </w:rPr>
        <w:t>).</w:t>
      </w:r>
    </w:p>
    <w:p w14:paraId="22A261A8" w14:textId="77777777" w:rsidR="00453D7D" w:rsidRDefault="00453D7D">
      <w:pPr>
        <w:pStyle w:val="Heading3"/>
        <w:rPr>
          <w:rStyle w:val="Strong"/>
          <w:rFonts w:ascii="Arial" w:hAnsi="Arial" w:cs="Arial"/>
          <w:b/>
          <w:bCs/>
          <w:sz w:val="32"/>
          <w:szCs w:val="32"/>
        </w:rPr>
      </w:pPr>
    </w:p>
    <w:p w14:paraId="6F357759" w14:textId="61F7E87E" w:rsidR="00FF2F8B" w:rsidRDefault="00A9662C">
      <w:pPr>
        <w:pStyle w:val="Heading3"/>
      </w:pPr>
      <w:r>
        <w:rPr>
          <w:rStyle w:val="Strong"/>
          <w:rFonts w:ascii="Arial" w:hAnsi="Arial" w:cs="Arial"/>
          <w:b/>
          <w:bCs/>
          <w:sz w:val="32"/>
          <w:szCs w:val="32"/>
        </w:rPr>
        <w:t xml:space="preserve">Step 3 </w:t>
      </w:r>
      <w:r w:rsidR="00542C37">
        <w:rPr>
          <w:rStyle w:val="Strong"/>
          <w:rFonts w:ascii="Arial" w:hAnsi="Arial" w:cs="Arial"/>
          <w:b/>
          <w:bCs/>
          <w:sz w:val="32"/>
          <w:szCs w:val="32"/>
        </w:rPr>
        <w:t xml:space="preserve">- </w:t>
      </w:r>
      <w:r w:rsidR="00BD6BD0">
        <w:rPr>
          <w:rStyle w:val="Strong"/>
          <w:rFonts w:ascii="Arial" w:hAnsi="Arial" w:cs="Arial"/>
          <w:b/>
          <w:bCs/>
          <w:sz w:val="32"/>
          <w:szCs w:val="32"/>
        </w:rPr>
        <w:t xml:space="preserve">Create </w:t>
      </w:r>
      <w:r w:rsidR="00542C37">
        <w:rPr>
          <w:rStyle w:val="Strong"/>
          <w:rFonts w:ascii="Arial" w:hAnsi="Arial" w:cs="Arial"/>
          <w:b/>
          <w:bCs/>
          <w:sz w:val="32"/>
          <w:szCs w:val="32"/>
        </w:rPr>
        <w:t>List of Assets</w:t>
      </w:r>
    </w:p>
    <w:p w14:paraId="32A7CEEC" w14:textId="77777777" w:rsidR="00C4721A" w:rsidRDefault="00C4721A">
      <w:pPr>
        <w:pStyle w:val="NormalWeb"/>
        <w:rPr>
          <w:rFonts w:ascii="Arial" w:hAnsi="Arial" w:cs="Arial"/>
          <w:sz w:val="27"/>
          <w:szCs w:val="27"/>
        </w:rPr>
      </w:pPr>
    </w:p>
    <w:p w14:paraId="7130780E" w14:textId="69C733C4" w:rsidR="00FF2F8B" w:rsidRDefault="00BD6BD0">
      <w:pPr>
        <w:pStyle w:val="NormalWeb"/>
      </w:pPr>
      <w:r>
        <w:rPr>
          <w:rFonts w:ascii="Arial" w:hAnsi="Arial" w:cs="Arial"/>
          <w:sz w:val="27"/>
          <w:szCs w:val="27"/>
        </w:rPr>
        <w:t xml:space="preserve">It would be wise to compile a list of all assets, debts, and liabilities to make sure nothing is forgotten during the estate planning process. Use this </w:t>
      </w:r>
      <w:hyperlink r:id="rId25" w:history="1">
        <w:r w:rsidRPr="00F5654F">
          <w:rPr>
            <w:rStyle w:val="Hyperlink"/>
            <w:rFonts w:ascii="Arial" w:hAnsi="Arial" w:cs="Arial"/>
            <w:sz w:val="27"/>
            <w:szCs w:val="27"/>
          </w:rPr>
          <w:t>Current Assets</w:t>
        </w:r>
        <w:r w:rsidR="00DC4BB8" w:rsidRPr="00F5654F">
          <w:rPr>
            <w:rStyle w:val="Hyperlink"/>
            <w:rFonts w:ascii="Arial" w:hAnsi="Arial" w:cs="Arial"/>
            <w:sz w:val="27"/>
            <w:szCs w:val="27"/>
          </w:rPr>
          <w:t xml:space="preserve"> List</w:t>
        </w:r>
      </w:hyperlink>
      <w:r>
        <w:rPr>
          <w:rFonts w:ascii="Arial" w:hAnsi="Arial" w:cs="Arial"/>
          <w:sz w:val="27"/>
          <w:szCs w:val="27"/>
        </w:rPr>
        <w:t xml:space="preserve"> to stay organized. It might also be helpful to include who will receive </w:t>
      </w:r>
      <w:r w:rsidR="00982ED0">
        <w:rPr>
          <w:rFonts w:ascii="Arial" w:hAnsi="Arial" w:cs="Arial"/>
          <w:sz w:val="27"/>
          <w:szCs w:val="27"/>
        </w:rPr>
        <w:t xml:space="preserve">each asset after the principal’s </w:t>
      </w:r>
      <w:r w:rsidR="0059453C">
        <w:rPr>
          <w:rFonts w:ascii="Arial" w:hAnsi="Arial" w:cs="Arial"/>
          <w:sz w:val="27"/>
          <w:szCs w:val="27"/>
        </w:rPr>
        <w:t>death.</w:t>
      </w:r>
    </w:p>
    <w:p w14:paraId="7C37CE22" w14:textId="77777777" w:rsidR="00C4721A" w:rsidRDefault="00C4721A">
      <w:pPr>
        <w:pStyle w:val="Heading3"/>
        <w:rPr>
          <w:rStyle w:val="Strong"/>
          <w:rFonts w:ascii="Arial" w:hAnsi="Arial" w:cs="Arial"/>
          <w:b/>
          <w:bCs/>
          <w:sz w:val="32"/>
          <w:szCs w:val="32"/>
        </w:rPr>
      </w:pPr>
    </w:p>
    <w:p w14:paraId="6B7AB27C" w14:textId="79190EA1" w:rsidR="00FF2F8B" w:rsidRDefault="00A9662C">
      <w:pPr>
        <w:pStyle w:val="Heading3"/>
      </w:pPr>
      <w:r>
        <w:rPr>
          <w:rStyle w:val="Strong"/>
          <w:rFonts w:ascii="Arial" w:hAnsi="Arial" w:cs="Arial"/>
          <w:b/>
          <w:bCs/>
          <w:sz w:val="32"/>
          <w:szCs w:val="32"/>
        </w:rPr>
        <w:t>Step 4 -</w:t>
      </w:r>
      <w:r w:rsidR="00012B11">
        <w:rPr>
          <w:rStyle w:val="Strong"/>
          <w:rFonts w:ascii="Arial" w:hAnsi="Arial" w:cs="Arial"/>
          <w:b/>
          <w:bCs/>
          <w:sz w:val="32"/>
          <w:szCs w:val="32"/>
        </w:rPr>
        <w:t xml:space="preserve"> </w:t>
      </w:r>
      <w:r w:rsidR="0059453C">
        <w:rPr>
          <w:rStyle w:val="Strong"/>
          <w:rFonts w:ascii="Arial" w:hAnsi="Arial" w:cs="Arial"/>
          <w:b/>
          <w:bCs/>
          <w:sz w:val="32"/>
          <w:szCs w:val="32"/>
        </w:rPr>
        <w:t xml:space="preserve">Choose </w:t>
      </w:r>
      <w:r w:rsidR="00012B11">
        <w:rPr>
          <w:rStyle w:val="Strong"/>
          <w:rFonts w:ascii="Arial" w:hAnsi="Arial" w:cs="Arial"/>
          <w:b/>
          <w:bCs/>
          <w:sz w:val="32"/>
          <w:szCs w:val="32"/>
        </w:rPr>
        <w:t>Beneficiaries</w:t>
      </w:r>
    </w:p>
    <w:p w14:paraId="0EE35B79" w14:textId="77777777" w:rsidR="00C4721A" w:rsidRDefault="00C4721A">
      <w:pPr>
        <w:pStyle w:val="NormalWeb"/>
        <w:rPr>
          <w:rFonts w:ascii="Arial" w:hAnsi="Arial" w:cs="Arial"/>
          <w:sz w:val="27"/>
          <w:szCs w:val="27"/>
        </w:rPr>
      </w:pPr>
    </w:p>
    <w:p w14:paraId="5D1E338F" w14:textId="611D5F98" w:rsidR="00FF2F8B" w:rsidRPr="00012B11" w:rsidRDefault="0059453C">
      <w:pPr>
        <w:pStyle w:val="NormalWeb"/>
        <w:rPr>
          <w:rFonts w:ascii="Arial" w:hAnsi="Arial" w:cs="Arial"/>
          <w:sz w:val="27"/>
          <w:szCs w:val="27"/>
          <w:lang w:val="en-CA"/>
        </w:rPr>
      </w:pPr>
      <w:r>
        <w:rPr>
          <w:rFonts w:ascii="Arial" w:hAnsi="Arial" w:cs="Arial"/>
          <w:sz w:val="27"/>
          <w:szCs w:val="27"/>
          <w:lang w:val="en-CA"/>
        </w:rPr>
        <w:t>Afte</w:t>
      </w:r>
      <w:r w:rsidR="002D275F">
        <w:rPr>
          <w:rFonts w:ascii="Arial" w:hAnsi="Arial" w:cs="Arial"/>
          <w:sz w:val="27"/>
          <w:szCs w:val="27"/>
          <w:lang w:val="en-CA"/>
        </w:rPr>
        <w:t xml:space="preserve">r a principal dies, their estate will be divided up as per the instructions laid out in their Will or Trust (see Step 5). The people who will receive a portion of the estate are the beneficiaries, or “heirs”. The principal usually names </w:t>
      </w:r>
      <w:r w:rsidR="002D275F">
        <w:rPr>
          <w:rFonts w:ascii="Arial" w:hAnsi="Arial" w:cs="Arial"/>
          <w:sz w:val="27"/>
          <w:szCs w:val="27"/>
          <w:lang w:val="en-CA"/>
        </w:rPr>
        <w:lastRenderedPageBreak/>
        <w:t xml:space="preserve">individuals closest to them; family members, relatives, close friends, colleagues, and the like. </w:t>
      </w:r>
      <w:r w:rsidR="00836D17">
        <w:rPr>
          <w:rFonts w:ascii="Arial" w:hAnsi="Arial" w:cs="Arial"/>
          <w:sz w:val="27"/>
          <w:szCs w:val="27"/>
          <w:lang w:val="en-CA"/>
        </w:rPr>
        <w:t xml:space="preserve"> </w:t>
      </w:r>
    </w:p>
    <w:p w14:paraId="7BCDC365" w14:textId="77777777" w:rsidR="00C4721A" w:rsidRDefault="00C4721A">
      <w:pPr>
        <w:pStyle w:val="Heading3"/>
        <w:rPr>
          <w:rStyle w:val="Strong"/>
          <w:rFonts w:ascii="Arial" w:hAnsi="Arial" w:cs="Arial"/>
          <w:b/>
          <w:bCs/>
          <w:sz w:val="32"/>
          <w:szCs w:val="32"/>
        </w:rPr>
      </w:pPr>
    </w:p>
    <w:p w14:paraId="6AACE02B" w14:textId="3FB324D1" w:rsidR="00FF2F8B" w:rsidRDefault="00A9662C">
      <w:pPr>
        <w:pStyle w:val="Heading3"/>
      </w:pPr>
      <w:r>
        <w:rPr>
          <w:rStyle w:val="Strong"/>
          <w:rFonts w:ascii="Arial" w:hAnsi="Arial" w:cs="Arial"/>
          <w:b/>
          <w:bCs/>
          <w:sz w:val="32"/>
          <w:szCs w:val="32"/>
        </w:rPr>
        <w:t xml:space="preserve">Step 5 - </w:t>
      </w:r>
      <w:r w:rsidR="009A450D">
        <w:rPr>
          <w:rStyle w:val="Strong"/>
          <w:rFonts w:ascii="Arial" w:hAnsi="Arial" w:cs="Arial"/>
          <w:b/>
          <w:bCs/>
          <w:sz w:val="32"/>
          <w:szCs w:val="32"/>
        </w:rPr>
        <w:t xml:space="preserve">Create </w:t>
      </w:r>
      <w:r w:rsidR="00E03F02">
        <w:rPr>
          <w:rStyle w:val="Strong"/>
          <w:rFonts w:ascii="Arial" w:hAnsi="Arial" w:cs="Arial"/>
          <w:b/>
          <w:bCs/>
          <w:sz w:val="32"/>
          <w:szCs w:val="32"/>
        </w:rPr>
        <w:t>Will and</w:t>
      </w:r>
      <w:r w:rsidR="009A450D">
        <w:rPr>
          <w:rStyle w:val="Strong"/>
          <w:rFonts w:ascii="Arial" w:hAnsi="Arial" w:cs="Arial"/>
          <w:b/>
          <w:bCs/>
          <w:sz w:val="32"/>
          <w:szCs w:val="32"/>
        </w:rPr>
        <w:t>/or</w:t>
      </w:r>
      <w:r w:rsidR="00E03F02">
        <w:rPr>
          <w:rStyle w:val="Strong"/>
          <w:rFonts w:ascii="Arial" w:hAnsi="Arial" w:cs="Arial"/>
          <w:b/>
          <w:bCs/>
          <w:sz w:val="32"/>
          <w:szCs w:val="32"/>
        </w:rPr>
        <w:t xml:space="preserve"> Living Trust</w:t>
      </w:r>
    </w:p>
    <w:p w14:paraId="399A1327" w14:textId="77777777" w:rsidR="00C4721A" w:rsidRDefault="00C4721A">
      <w:pPr>
        <w:pStyle w:val="NormalWeb"/>
        <w:rPr>
          <w:rFonts w:ascii="Arial" w:hAnsi="Arial" w:cs="Arial"/>
          <w:sz w:val="27"/>
          <w:szCs w:val="27"/>
        </w:rPr>
      </w:pPr>
    </w:p>
    <w:p w14:paraId="0C1F15B1" w14:textId="2F08BF78" w:rsidR="00AB3481" w:rsidRDefault="00AB3481" w:rsidP="00AB3481">
      <w:pPr>
        <w:pStyle w:val="NormalWeb"/>
        <w:rPr>
          <w:rFonts w:ascii="Arial" w:hAnsi="Arial" w:cs="Arial"/>
          <w:sz w:val="27"/>
          <w:szCs w:val="27"/>
        </w:rPr>
      </w:pPr>
      <w:r>
        <w:rPr>
          <w:rFonts w:ascii="Arial" w:hAnsi="Arial" w:cs="Arial"/>
          <w:sz w:val="27"/>
          <w:szCs w:val="27"/>
        </w:rPr>
        <w:t xml:space="preserve">A principal has a big decision to make at this juncture of the estate planning process; which document will best suit my needs – a Last Will and Testament or a Revocable Living Trust? Regardless of the answer, one would be wise to seek legal counsel before executing any documents. </w:t>
      </w:r>
    </w:p>
    <w:p w14:paraId="7DA632CF" w14:textId="769B89E5" w:rsidR="00AB3481" w:rsidRDefault="00021D54" w:rsidP="00AB3481">
      <w:pPr>
        <w:pStyle w:val="NormalWeb"/>
        <w:rPr>
          <w:rFonts w:ascii="Arial" w:hAnsi="Arial" w:cs="Arial"/>
          <w:sz w:val="27"/>
          <w:szCs w:val="27"/>
        </w:rPr>
      </w:pPr>
      <w:hyperlink r:id="rId26" w:history="1">
        <w:r w:rsidR="00AB3481" w:rsidRPr="001F72A8">
          <w:rPr>
            <w:rStyle w:val="Hyperlink"/>
            <w:rFonts w:ascii="Arial" w:hAnsi="Arial" w:cs="Arial"/>
            <w:sz w:val="27"/>
            <w:szCs w:val="27"/>
          </w:rPr>
          <w:t>Last Will and Testament</w:t>
        </w:r>
      </w:hyperlink>
      <w:r w:rsidR="00A00834">
        <w:rPr>
          <w:rFonts w:ascii="Arial" w:hAnsi="Arial" w:cs="Arial"/>
          <w:sz w:val="27"/>
          <w:szCs w:val="27"/>
        </w:rPr>
        <w:t xml:space="preserve"> – A Will is a legal instrument that contains the testator’s (principal) instructions regarding the distribution of their estate and other assets after they die. Furthermore, it covers how their debts, taxes, and liabilities should be taken care of, and who will be guardians to their children (if applicable). After the testator’s death, a Will must be reviewed in probate court to verify its validity and authenticity before the executor can hand over the assets to the beneficiaries</w:t>
      </w:r>
      <w:r w:rsidR="00AE52F0">
        <w:rPr>
          <w:rFonts w:ascii="Arial" w:hAnsi="Arial" w:cs="Arial"/>
          <w:sz w:val="27"/>
          <w:szCs w:val="27"/>
        </w:rPr>
        <w:t>.</w:t>
      </w:r>
    </w:p>
    <w:p w14:paraId="4D86BC4F" w14:textId="6A15468B" w:rsidR="00AE52F0" w:rsidRPr="001F72A8" w:rsidRDefault="00AE52F0" w:rsidP="00AE52F0">
      <w:pPr>
        <w:pStyle w:val="NormalWeb"/>
        <w:numPr>
          <w:ilvl w:val="0"/>
          <w:numId w:val="6"/>
        </w:numPr>
        <w:rPr>
          <w:rFonts w:ascii="Arial" w:hAnsi="Arial" w:cs="Arial"/>
          <w:sz w:val="27"/>
          <w:szCs w:val="27"/>
        </w:rPr>
      </w:pPr>
      <w:r w:rsidRPr="00AE52F0">
        <w:rPr>
          <w:rFonts w:ascii="Arial" w:hAnsi="Arial" w:cs="Arial"/>
          <w:b/>
          <w:sz w:val="27"/>
          <w:szCs w:val="27"/>
        </w:rPr>
        <w:t>Signing</w:t>
      </w:r>
      <w:r>
        <w:rPr>
          <w:rFonts w:ascii="Arial" w:hAnsi="Arial" w:cs="Arial"/>
          <w:sz w:val="27"/>
          <w:szCs w:val="27"/>
        </w:rPr>
        <w:t xml:space="preserve"> </w:t>
      </w:r>
      <w:r w:rsidRPr="00AE52F0">
        <w:rPr>
          <w:rFonts w:ascii="Arial" w:hAnsi="Arial" w:cs="Arial"/>
          <w:b/>
          <w:sz w:val="27"/>
          <w:szCs w:val="27"/>
        </w:rPr>
        <w:t>Requirements</w:t>
      </w:r>
      <w:r>
        <w:rPr>
          <w:rFonts w:ascii="Arial" w:hAnsi="Arial" w:cs="Arial"/>
          <w:sz w:val="27"/>
          <w:szCs w:val="27"/>
        </w:rPr>
        <w:t xml:space="preserve"> (</w:t>
      </w:r>
      <w:hyperlink r:id="rId27" w:history="1">
        <w:r w:rsidRPr="001F72A8">
          <w:rPr>
            <w:rStyle w:val="Hyperlink"/>
            <w:rFonts w:ascii="Arial" w:hAnsi="Arial" w:cs="Arial"/>
            <w:sz w:val="27"/>
            <w:szCs w:val="27"/>
            <w:lang w:val="en-CA"/>
          </w:rPr>
          <w:t>§ 133.040</w:t>
        </w:r>
      </w:hyperlink>
      <w:r>
        <w:rPr>
          <w:rFonts w:ascii="Arial" w:hAnsi="Arial" w:cs="Arial"/>
          <w:sz w:val="27"/>
          <w:szCs w:val="27"/>
          <w:lang w:val="en-CA"/>
        </w:rPr>
        <w:t>) – The principal and two (2) witnesses.</w:t>
      </w:r>
    </w:p>
    <w:p w14:paraId="4D403D9A" w14:textId="0EE29D1A" w:rsidR="001F72A8" w:rsidRDefault="00021D54" w:rsidP="001F72A8">
      <w:pPr>
        <w:pStyle w:val="NormalWeb"/>
        <w:rPr>
          <w:rFonts w:ascii="Arial" w:hAnsi="Arial" w:cs="Arial"/>
          <w:sz w:val="27"/>
          <w:szCs w:val="27"/>
        </w:rPr>
      </w:pPr>
      <w:hyperlink r:id="rId28" w:history="1">
        <w:r w:rsidR="001F72A8" w:rsidRPr="00636943">
          <w:rPr>
            <w:rStyle w:val="Hyperlink"/>
            <w:rFonts w:ascii="Arial" w:hAnsi="Arial" w:cs="Arial"/>
            <w:sz w:val="27"/>
            <w:szCs w:val="27"/>
          </w:rPr>
          <w:t>Revocable Living Trust</w:t>
        </w:r>
      </w:hyperlink>
      <w:r w:rsidR="001F72A8">
        <w:rPr>
          <w:rFonts w:ascii="Arial" w:hAnsi="Arial" w:cs="Arial"/>
          <w:sz w:val="27"/>
          <w:szCs w:val="27"/>
        </w:rPr>
        <w:t xml:space="preserve"> – A Living Trust is more than just a set of instructions, it is an entity set up by the grantor (principal) into which property will be transferred. Transferring ownership of certain assets to the Trust means that once the grantor dies, the assets will be bestowed upon the named beneficiaries without going through probate and without being made public record. The grantor will continue to benefit from all assets within the Trust and they can amend this document at any point during their lifetime. Any asset or property not placed under </w:t>
      </w:r>
      <w:r w:rsidR="00636943">
        <w:rPr>
          <w:rFonts w:ascii="Arial" w:hAnsi="Arial" w:cs="Arial"/>
          <w:sz w:val="27"/>
          <w:szCs w:val="27"/>
        </w:rPr>
        <w:t xml:space="preserve">the </w:t>
      </w:r>
      <w:r w:rsidR="00405BD2">
        <w:rPr>
          <w:rFonts w:ascii="Arial" w:hAnsi="Arial" w:cs="Arial"/>
          <w:sz w:val="27"/>
          <w:szCs w:val="27"/>
        </w:rPr>
        <w:t xml:space="preserve">ownership of the Trust should be included into a Last Will and Testament to ensure that it falls into the right hands after the grantor dies. </w:t>
      </w:r>
    </w:p>
    <w:p w14:paraId="1722E0A8" w14:textId="60EFE12F" w:rsidR="002D3BD9" w:rsidRPr="00195F2D" w:rsidRDefault="002D3BD9" w:rsidP="002D3BD9">
      <w:pPr>
        <w:pStyle w:val="NormalWeb"/>
        <w:numPr>
          <w:ilvl w:val="0"/>
          <w:numId w:val="6"/>
        </w:numPr>
        <w:rPr>
          <w:rFonts w:ascii="Arial" w:hAnsi="Arial" w:cs="Arial"/>
          <w:sz w:val="27"/>
          <w:szCs w:val="27"/>
        </w:rPr>
      </w:pPr>
      <w:r w:rsidRPr="002D3BD9">
        <w:rPr>
          <w:rFonts w:ascii="Arial" w:hAnsi="Arial" w:cs="Arial"/>
          <w:b/>
          <w:sz w:val="27"/>
          <w:szCs w:val="27"/>
        </w:rPr>
        <w:t>Signing</w:t>
      </w:r>
      <w:r>
        <w:rPr>
          <w:rFonts w:ascii="Arial" w:hAnsi="Arial" w:cs="Arial"/>
          <w:sz w:val="27"/>
          <w:szCs w:val="27"/>
        </w:rPr>
        <w:t xml:space="preserve"> </w:t>
      </w:r>
      <w:r w:rsidRPr="002D3BD9">
        <w:rPr>
          <w:rFonts w:ascii="Arial" w:hAnsi="Arial" w:cs="Arial"/>
          <w:b/>
          <w:sz w:val="27"/>
          <w:szCs w:val="27"/>
        </w:rPr>
        <w:t>Requirements</w:t>
      </w:r>
      <w:r>
        <w:rPr>
          <w:rFonts w:ascii="Arial" w:hAnsi="Arial" w:cs="Arial"/>
          <w:sz w:val="27"/>
          <w:szCs w:val="27"/>
        </w:rPr>
        <w:t xml:space="preserve"> – Although it is not specifically mentioned in State law, a Living Trust should be signed in the presence of a notary public. </w:t>
      </w:r>
    </w:p>
    <w:p w14:paraId="5C46EA4A" w14:textId="77777777" w:rsidR="00C4721A" w:rsidRDefault="00C4721A">
      <w:pPr>
        <w:pStyle w:val="Heading3"/>
        <w:rPr>
          <w:rStyle w:val="Strong"/>
          <w:rFonts w:ascii="Arial" w:hAnsi="Arial" w:cs="Arial"/>
          <w:b/>
          <w:bCs/>
          <w:sz w:val="32"/>
          <w:szCs w:val="32"/>
        </w:rPr>
      </w:pPr>
    </w:p>
    <w:p w14:paraId="1E2D364A" w14:textId="2661AF01" w:rsidR="00FF2F8B" w:rsidRDefault="00A9662C">
      <w:pPr>
        <w:pStyle w:val="Heading3"/>
      </w:pPr>
      <w:r>
        <w:rPr>
          <w:rStyle w:val="Strong"/>
          <w:rFonts w:ascii="Arial" w:hAnsi="Arial" w:cs="Arial"/>
          <w:b/>
          <w:bCs/>
          <w:sz w:val="32"/>
          <w:szCs w:val="32"/>
        </w:rPr>
        <w:t>Step 6 - Stor</w:t>
      </w:r>
      <w:r w:rsidR="00AC0646">
        <w:rPr>
          <w:rStyle w:val="Strong"/>
          <w:rFonts w:ascii="Arial" w:hAnsi="Arial" w:cs="Arial"/>
          <w:b/>
          <w:bCs/>
          <w:sz w:val="32"/>
          <w:szCs w:val="32"/>
        </w:rPr>
        <w:t>e</w:t>
      </w:r>
      <w:r>
        <w:rPr>
          <w:rStyle w:val="Strong"/>
          <w:rFonts w:ascii="Arial" w:hAnsi="Arial" w:cs="Arial"/>
          <w:b/>
          <w:bCs/>
          <w:sz w:val="32"/>
          <w:szCs w:val="32"/>
        </w:rPr>
        <w:t xml:space="preserve"> Documents</w:t>
      </w:r>
    </w:p>
    <w:p w14:paraId="64ED54BF" w14:textId="77777777" w:rsidR="00C4721A" w:rsidRDefault="00C4721A">
      <w:pPr>
        <w:pStyle w:val="NormalWeb"/>
        <w:rPr>
          <w:rFonts w:ascii="Arial" w:hAnsi="Arial" w:cs="Arial"/>
          <w:sz w:val="27"/>
          <w:szCs w:val="27"/>
        </w:rPr>
      </w:pPr>
    </w:p>
    <w:p w14:paraId="591AEBF1" w14:textId="0724F1D7" w:rsidR="00FF2F8B" w:rsidRDefault="00AC0646">
      <w:pPr>
        <w:pStyle w:val="NormalWeb"/>
        <w:rPr>
          <w:rFonts w:ascii="Arial" w:hAnsi="Arial" w:cs="Arial"/>
          <w:sz w:val="27"/>
          <w:szCs w:val="27"/>
        </w:rPr>
      </w:pPr>
      <w:r>
        <w:rPr>
          <w:rFonts w:ascii="Arial" w:hAnsi="Arial" w:cs="Arial"/>
          <w:sz w:val="27"/>
          <w:szCs w:val="27"/>
        </w:rPr>
        <w:t xml:space="preserve">With privacy and security in mind, the principal should place all estate planning documents in a waterproof/fireproof place at home or at their office. </w:t>
      </w:r>
      <w:r>
        <w:rPr>
          <w:rFonts w:ascii="Arial" w:hAnsi="Arial" w:cs="Arial"/>
          <w:sz w:val="27"/>
          <w:szCs w:val="27"/>
        </w:rPr>
        <w:lastRenderedPageBreak/>
        <w:t xml:space="preserve">Security deposit boxes are not recommended </w:t>
      </w:r>
      <w:r w:rsidR="00636943">
        <w:rPr>
          <w:rFonts w:ascii="Arial" w:hAnsi="Arial" w:cs="Arial"/>
          <w:sz w:val="27"/>
          <w:szCs w:val="27"/>
        </w:rPr>
        <w:t>since</w:t>
      </w:r>
      <w:r>
        <w:rPr>
          <w:rFonts w:ascii="Arial" w:hAnsi="Arial" w:cs="Arial"/>
          <w:sz w:val="27"/>
          <w:szCs w:val="27"/>
        </w:rPr>
        <w:t xml:space="preserve"> a court order is typically required to open them after a person is deceased. If the documents are locked away, sharing the location and the key/combination with an agent, attorney, or executor is recommended. Otherwise, copies of the documents can be delivered to the appropriate individuals. </w:t>
      </w:r>
    </w:p>
    <w:p w14:paraId="78DA7389" w14:textId="77777777" w:rsidR="00FF2F8B" w:rsidRDefault="00FF2F8B">
      <w:pPr>
        <w:rPr>
          <w:rFonts w:ascii="Arial" w:hAnsi="Arial" w:cs="Arial"/>
          <w:sz w:val="27"/>
          <w:szCs w:val="27"/>
        </w:rPr>
      </w:pPr>
    </w:p>
    <w:sectPr w:rsidR="00FF2F8B">
      <w:footerReference w:type="default" r:id="rId2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D932E" w14:textId="77777777" w:rsidR="00021D54" w:rsidRDefault="00021D54">
      <w:r>
        <w:separator/>
      </w:r>
    </w:p>
  </w:endnote>
  <w:endnote w:type="continuationSeparator" w:id="0">
    <w:p w14:paraId="6305A418" w14:textId="77777777" w:rsidR="00021D54" w:rsidRDefault="0002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518F5" w14:textId="77777777" w:rsidR="00A43ED0" w:rsidRDefault="00A9662C">
    <w:pPr>
      <w:pStyle w:val="Footer"/>
      <w:tabs>
        <w:tab w:val="clear" w:pos="4680"/>
        <w:tab w:val="clear" w:pos="9360"/>
        <w:tab w:val="left" w:pos="6180"/>
      </w:tabs>
      <w:ind w:right="360"/>
    </w:pPr>
    <w:r>
      <w:rPr>
        <w:noProof/>
      </w:rPr>
      <mc:AlternateContent>
        <mc:Choice Requires="wps">
          <w:drawing>
            <wp:anchor distT="0" distB="0" distL="114300" distR="114300" simplePos="0" relativeHeight="251659264" behindDoc="0" locked="0" layoutInCell="1" allowOverlap="1" wp14:anchorId="78A8823D" wp14:editId="73996541">
              <wp:simplePos x="0" y="0"/>
              <wp:positionH relativeFrom="page">
                <wp:posOffset>5855268</wp:posOffset>
              </wp:positionH>
              <wp:positionV relativeFrom="paragraph">
                <wp:posOffset>81198</wp:posOffset>
              </wp:positionV>
              <wp:extent cx="1232519"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1232519" cy="0"/>
                      </a:xfrm>
                      <a:prstGeom prst="rect">
                        <a:avLst/>
                      </a:prstGeom>
                      <a:ln>
                        <a:noFill/>
                        <a:prstDash/>
                      </a:ln>
                    </wps:spPr>
                    <wps:txbx>
                      <w:txbxContent>
                        <w:p w14:paraId="2A41D7D6" w14:textId="77777777" w:rsidR="00A43ED0" w:rsidRDefault="00A9662C">
                          <w:pPr>
                            <w:pStyle w:val="Footer"/>
                            <w:jc w:val="right"/>
                          </w:pPr>
                          <w:r>
                            <w:rPr>
                              <w:rStyle w:val="PageNumbe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Pr>
                              <w:rStyle w:val="PageNumber"/>
                              <w:rFonts w:ascii="Arial" w:hAnsi="Arial" w:cs="Arial"/>
                              <w:sz w:val="20"/>
                              <w:szCs w:val="20"/>
                            </w:rPr>
                            <w:t>3</w:t>
                          </w:r>
                          <w:r>
                            <w:rPr>
                              <w:rStyle w:val="PageNumber"/>
                              <w:rFonts w:ascii="Arial" w:hAnsi="Arial" w:cs="Arial"/>
                              <w:sz w:val="20"/>
                              <w:szCs w:val="20"/>
                            </w:rPr>
                            <w:fldChar w:fldCharType="end"/>
                          </w:r>
                          <w:r>
                            <w:rPr>
                              <w:rStyle w:val="PageNumber"/>
                              <w:rFonts w:ascii="Arial" w:hAnsi="Arial" w:cs="Arial"/>
                              <w:sz w:val="20"/>
                              <w:szCs w:val="20"/>
                            </w:rPr>
                            <w:t xml:space="preserve"> </w:t>
                          </w:r>
                        </w:p>
                      </w:txbxContent>
                    </wps:txbx>
                    <wps:bodyPr lIns="0" tIns="0" rIns="0" bIns="0">
                      <a:spAutoFit/>
                    </wps:bodyPr>
                  </wps:wsp>
                </a:graphicData>
              </a:graphic>
            </wp:anchor>
          </w:drawing>
        </mc:Choice>
        <mc:Fallback>
          <w:pict>
            <v:shapetype w14:anchorId="78A8823D" id="_x0000_t202" coordsize="21600,21600" o:spt="202" path="m,l,21600r21600,l21600,xe">
              <v:stroke joinstyle="miter"/>
              <v:path gradientshapeok="t" o:connecttype="rect"/>
            </v:shapetype>
            <v:shape id="Text Box 1" o:spid="_x0000_s1026" type="#_x0000_t202" style="position:absolute;margin-left:461.05pt;margin-top:6.4pt;width:97.05pt;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" filled="f" stroked="f">
              <v:textbox style="mso-fit-shape-to-text:t" inset="0,0,0,0">
                <w:txbxContent>
                  <w:p w14:paraId="2A41D7D6" w14:textId="77777777" w:rsidR="00A43ED0" w:rsidRDefault="00A9662C">
                    <w:pPr>
                      <w:pStyle w:val="Footer"/>
                      <w:jc w:val="right"/>
                    </w:pPr>
                    <w:r>
                      <w:rPr>
                        <w:rStyle w:val="PageNumbe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Pr>
                        <w:rStyle w:val="PageNumber"/>
                        <w:rFonts w:ascii="Arial" w:hAnsi="Arial" w:cs="Arial"/>
                        <w:sz w:val="20"/>
                        <w:szCs w:val="20"/>
                      </w:rPr>
                      <w:t>3</w:t>
                    </w:r>
                    <w:r>
                      <w:rPr>
                        <w:rStyle w:val="PageNumber"/>
                        <w:rFonts w:ascii="Arial" w:hAnsi="Arial" w:cs="Arial"/>
                        <w:sz w:val="20"/>
                        <w:szCs w:val="20"/>
                      </w:rPr>
                      <w:fldChar w:fldCharType="end"/>
                    </w:r>
                    <w:r>
                      <w:rPr>
                        <w:rStyle w:val="PageNumber"/>
                        <w:rFonts w:ascii="Arial" w:hAnsi="Arial" w:cs="Arial"/>
                        <w:sz w:val="20"/>
                        <w:szCs w:val="20"/>
                      </w:rPr>
                      <w:t xml:space="preserve"> </w:t>
                    </w:r>
                  </w:p>
                </w:txbxContent>
              </v:textbox>
              <w10:wrap type="topAndBottom" anchorx="page"/>
            </v:shape>
          </w:pict>
        </mc:Fallback>
      </mc:AlternateContent>
    </w:r>
    <w:r>
      <w:rPr>
        <w:rStyle w:val="Hyperlink"/>
        <w:rFonts w:ascii="Arial" w:hAnsi="Arial" w:cs="Arial"/>
        <w:noProof/>
        <w:color w:val="000000"/>
        <w:sz w:val="20"/>
        <w:szCs w:val="20"/>
        <w:u w:val="none"/>
      </w:rPr>
      <w:drawing>
        <wp:inline distT="0" distB="0" distL="0" distR="0" wp14:anchorId="5ECE5BA2" wp14:editId="224A6C75">
          <wp:extent cx="254002" cy="254002"/>
          <wp:effectExtent l="0" t="0" r="0" b="0"/>
          <wp:docPr id="2" name="Picture 8">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2" name="Picture 8">
                    <a:hlinkClick r:id="rId1"/>
                  </pic:cNvPr>
                  <pic:cNvPicPr/>
                </pic:nvPicPr>
                <pic:blipFill>
                  <a:blip r:embed="rId2"/>
                  <a:stretch>
                    <a:fillRect/>
                  </a:stretch>
                </pic:blipFill>
                <pic:spPr>
                  <a:xfrm>
                    <a:off x="0" y="0"/>
                    <a:ext cx="254002" cy="254002"/>
                  </a:xfrm>
                  <a:prstGeom prst="rect">
                    <a:avLst/>
                  </a:prstGeom>
                  <a:noFill/>
                  <a:ln>
                    <a:noFill/>
                    <a:prstDash/>
                  </a:ln>
                </pic:spPr>
              </pic:pic>
            </a:graphicData>
          </a:graphic>
        </wp:inline>
      </w:drawing>
    </w:r>
    <w:r>
      <w:rPr>
        <w:rFonts w:ascii="Arial" w:hAnsi="Arial" w:cs="Arial"/>
        <w:sz w:val="20"/>
        <w:szCs w:val="20"/>
      </w:rPr>
      <w:t xml:space="preserve"> </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19C65" w14:textId="77777777" w:rsidR="00021D54" w:rsidRDefault="00021D54">
      <w:r>
        <w:rPr>
          <w:color w:val="000000"/>
        </w:rPr>
        <w:separator/>
      </w:r>
    </w:p>
  </w:footnote>
  <w:footnote w:type="continuationSeparator" w:id="0">
    <w:p w14:paraId="7741F173" w14:textId="77777777" w:rsidR="00021D54" w:rsidRDefault="00021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356"/>
    <w:multiLevelType w:val="hybridMultilevel"/>
    <w:tmpl w:val="DB3AF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D55325"/>
    <w:multiLevelType w:val="multilevel"/>
    <w:tmpl w:val="FC72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72951"/>
    <w:multiLevelType w:val="multilevel"/>
    <w:tmpl w:val="6B96C3C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FB4365F"/>
    <w:multiLevelType w:val="multilevel"/>
    <w:tmpl w:val="1EC0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A871E8"/>
    <w:multiLevelType w:val="multilevel"/>
    <w:tmpl w:val="474A476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3A754E9C"/>
    <w:multiLevelType w:val="multilevel"/>
    <w:tmpl w:val="045EDED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54CD143B"/>
    <w:multiLevelType w:val="multilevel"/>
    <w:tmpl w:val="B674176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6FBD6F47"/>
    <w:multiLevelType w:val="multilevel"/>
    <w:tmpl w:val="71E00F1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5"/>
  </w:num>
  <w:num w:numId="2">
    <w:abstractNumId w:val="6"/>
  </w:num>
  <w:num w:numId="3">
    <w:abstractNumId w:val="2"/>
  </w:num>
  <w:num w:numId="4">
    <w:abstractNumId w:val="7"/>
  </w:num>
  <w:num w:numId="5">
    <w:abstractNumId w:val="4"/>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F8B"/>
    <w:rsid w:val="00012B11"/>
    <w:rsid w:val="00021D54"/>
    <w:rsid w:val="00034C03"/>
    <w:rsid w:val="000B5F38"/>
    <w:rsid w:val="000B73BE"/>
    <w:rsid w:val="00173D0C"/>
    <w:rsid w:val="00176C9F"/>
    <w:rsid w:val="00195F2D"/>
    <w:rsid w:val="001A2ADD"/>
    <w:rsid w:val="001F72A8"/>
    <w:rsid w:val="0020233B"/>
    <w:rsid w:val="0023237E"/>
    <w:rsid w:val="00252406"/>
    <w:rsid w:val="00257375"/>
    <w:rsid w:val="00262E96"/>
    <w:rsid w:val="002D275F"/>
    <w:rsid w:val="002D3BD9"/>
    <w:rsid w:val="00301AC5"/>
    <w:rsid w:val="00305370"/>
    <w:rsid w:val="00352CF7"/>
    <w:rsid w:val="00405BD2"/>
    <w:rsid w:val="00407C06"/>
    <w:rsid w:val="004457BE"/>
    <w:rsid w:val="00453D7D"/>
    <w:rsid w:val="00474E29"/>
    <w:rsid w:val="004976B9"/>
    <w:rsid w:val="00523DD3"/>
    <w:rsid w:val="00542C37"/>
    <w:rsid w:val="005647E9"/>
    <w:rsid w:val="005739F0"/>
    <w:rsid w:val="0059453C"/>
    <w:rsid w:val="005C71A5"/>
    <w:rsid w:val="005D2B0C"/>
    <w:rsid w:val="00636943"/>
    <w:rsid w:val="006A7801"/>
    <w:rsid w:val="006F580A"/>
    <w:rsid w:val="007A20AF"/>
    <w:rsid w:val="007B4523"/>
    <w:rsid w:val="007F56A7"/>
    <w:rsid w:val="00823C44"/>
    <w:rsid w:val="00836D17"/>
    <w:rsid w:val="008A08BE"/>
    <w:rsid w:val="008A56A8"/>
    <w:rsid w:val="0091662A"/>
    <w:rsid w:val="00982ED0"/>
    <w:rsid w:val="009A450D"/>
    <w:rsid w:val="009C4597"/>
    <w:rsid w:val="00A00834"/>
    <w:rsid w:val="00A72A0E"/>
    <w:rsid w:val="00A9662C"/>
    <w:rsid w:val="00AB3481"/>
    <w:rsid w:val="00AC0646"/>
    <w:rsid w:val="00AE52F0"/>
    <w:rsid w:val="00B921A0"/>
    <w:rsid w:val="00BD6BD0"/>
    <w:rsid w:val="00BD7BD1"/>
    <w:rsid w:val="00C4721A"/>
    <w:rsid w:val="00C93CCF"/>
    <w:rsid w:val="00CC4803"/>
    <w:rsid w:val="00D12573"/>
    <w:rsid w:val="00D252AA"/>
    <w:rsid w:val="00D30C7D"/>
    <w:rsid w:val="00D354E7"/>
    <w:rsid w:val="00DC4BB8"/>
    <w:rsid w:val="00DF0D79"/>
    <w:rsid w:val="00E03F02"/>
    <w:rsid w:val="00E05495"/>
    <w:rsid w:val="00E05DCA"/>
    <w:rsid w:val="00E160DE"/>
    <w:rsid w:val="00E44E5B"/>
    <w:rsid w:val="00E64CB8"/>
    <w:rsid w:val="00F32318"/>
    <w:rsid w:val="00F4652D"/>
    <w:rsid w:val="00F5654F"/>
    <w:rsid w:val="00FC1E74"/>
    <w:rsid w:val="00FE514C"/>
    <w:rsid w:val="00FF2F8B"/>
    <w:rsid w:val="00FF4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0C605"/>
  <w15:docId w15:val="{F224302D-E1DB-8241-86D3-3C71614F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uiPriority w:val="9"/>
    <w:qFormat/>
    <w:pPr>
      <w:spacing w:before="100" w:after="100"/>
      <w:outlineLvl w:val="0"/>
    </w:pPr>
    <w:rPr>
      <w:rFonts w:ascii="Times New Roman" w:eastAsia="Times New Roman" w:hAnsi="Times New Roman"/>
      <w:b/>
      <w:bCs/>
      <w:kern w:val="3"/>
      <w:sz w:val="48"/>
      <w:szCs w:val="48"/>
    </w:rPr>
  </w:style>
  <w:style w:type="paragraph" w:styleId="Heading3">
    <w:name w:val="heading 3"/>
    <w:basedOn w:val="Normal"/>
    <w:uiPriority w:val="9"/>
    <w:unhideWhenUsed/>
    <w:qFormat/>
    <w:pPr>
      <w:spacing w:before="100" w:after="100"/>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kern w:val="3"/>
      <w:sz w:val="48"/>
      <w:szCs w:val="48"/>
    </w:rPr>
  </w:style>
  <w:style w:type="character" w:customStyle="1" w:styleId="Heading3Char">
    <w:name w:val="Heading 3 Char"/>
    <w:basedOn w:val="DefaultParagraphFont"/>
    <w:rPr>
      <w:rFonts w:ascii="Times New Roman" w:eastAsia="Times New Roman" w:hAnsi="Times New Roman" w:cs="Times New Roman"/>
      <w:b/>
      <w:bCs/>
      <w:sz w:val="27"/>
      <w:szCs w:val="27"/>
    </w:rPr>
  </w:style>
  <w:style w:type="paragraph" w:styleId="NormalWeb">
    <w:name w:val="Normal (Web)"/>
    <w:basedOn w:val="Normal"/>
    <w:pPr>
      <w:spacing w:before="100" w:after="100"/>
    </w:pPr>
    <w:rPr>
      <w:rFonts w:ascii="Times New Roman" w:eastAsia="Times New Roman" w:hAnsi="Times New Roman"/>
    </w:rPr>
  </w:style>
  <w:style w:type="character" w:styleId="Strong">
    <w:name w:val="Strong"/>
    <w:basedOn w:val="DefaultParagraphFont"/>
    <w:rPr>
      <w:b/>
      <w:bCs/>
    </w:rPr>
  </w:style>
  <w:style w:type="character" w:styleId="Hyperlink">
    <w:name w:val="Hyperlink"/>
    <w:basedOn w:val="DefaultParagraphFont"/>
    <w:rPr>
      <w:color w:val="0000FF"/>
      <w:u w:val="single"/>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character" w:styleId="PageNumber">
    <w:name w:val="page number"/>
    <w:basedOn w:val="DefaultParagraphFont"/>
  </w:style>
  <w:style w:type="character" w:styleId="UnresolvedMention">
    <w:name w:val="Unresolved Mention"/>
    <w:basedOn w:val="DefaultParagraphFont"/>
    <w:uiPriority w:val="99"/>
    <w:semiHidden/>
    <w:unhideWhenUsed/>
    <w:rsid w:val="00F4652D"/>
    <w:rPr>
      <w:color w:val="605E5C"/>
      <w:shd w:val="clear" w:color="auto" w:fill="E1DFDD"/>
    </w:rPr>
  </w:style>
  <w:style w:type="character" w:styleId="FollowedHyperlink">
    <w:name w:val="FollowedHyperlink"/>
    <w:basedOn w:val="DefaultParagraphFont"/>
    <w:uiPriority w:val="99"/>
    <w:semiHidden/>
    <w:unhideWhenUsed/>
    <w:rsid w:val="00301A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031172">
      <w:bodyDiv w:val="1"/>
      <w:marLeft w:val="0"/>
      <w:marRight w:val="0"/>
      <w:marTop w:val="0"/>
      <w:marBottom w:val="0"/>
      <w:divBdr>
        <w:top w:val="none" w:sz="0" w:space="0" w:color="auto"/>
        <w:left w:val="none" w:sz="0" w:space="0" w:color="auto"/>
        <w:bottom w:val="none" w:sz="0" w:space="0" w:color="auto"/>
        <w:right w:val="none" w:sz="0" w:space="0" w:color="auto"/>
      </w:divBdr>
    </w:div>
    <w:div w:id="783616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aw.justia.com/codes/nevada/2017/chapter-162a/statute-162a.790/" TargetMode="External"/><Relationship Id="rId13" Type="http://schemas.openxmlformats.org/officeDocument/2006/relationships/hyperlink" Target="https://law.justia.com/codes/nevada/2017/chapter-162a/statute-162a.500/" TargetMode="External"/><Relationship Id="rId18" Type="http://schemas.openxmlformats.org/officeDocument/2006/relationships/hyperlink" Target="https://law.justia.com/codes/nevada/2017/chapter-162a/statute-162a.550/" TargetMode="External"/><Relationship Id="rId26" Type="http://schemas.openxmlformats.org/officeDocument/2006/relationships/hyperlink" Target="https://law.justia.com/codes/nevada/2017/chapter-162a/statute-162a.220/" TargetMode="External"/><Relationship Id="rId3" Type="http://schemas.openxmlformats.org/officeDocument/2006/relationships/settings" Target="settings.xml"/><Relationship Id="rId21" Type="http://schemas.openxmlformats.org/officeDocument/2006/relationships/hyperlink" Target="https://law.justia.com/codes/nevada/2017/chapter-162a/statute-162a.580/" TargetMode="External"/><Relationship Id="rId7" Type="http://schemas.openxmlformats.org/officeDocument/2006/relationships/hyperlink" Target="https://eforms.com/power-of-attorney/nv/nevada-durable-power-of-attorney-for-health-care-decisions/" TargetMode="External"/><Relationship Id="rId12" Type="http://schemas.openxmlformats.org/officeDocument/2006/relationships/hyperlink" Target="https://law.justia.com/codes/nevada/2017/chapter-162a/statute-162a.490/" TargetMode="External"/><Relationship Id="rId17" Type="http://schemas.openxmlformats.org/officeDocument/2006/relationships/hyperlink" Target="https://law.justia.com/codes/nevada/2017/chapter-162a/statute-162a.540/" TargetMode="External"/><Relationship Id="rId25" Type="http://schemas.openxmlformats.org/officeDocument/2006/relationships/hyperlink" Target="https://eforms.com/estate-planning/current-assets-list/" TargetMode="External"/><Relationship Id="rId2" Type="http://schemas.openxmlformats.org/officeDocument/2006/relationships/styles" Target="styles.xml"/><Relationship Id="rId16" Type="http://schemas.openxmlformats.org/officeDocument/2006/relationships/hyperlink" Target="https://law.justia.com/codes/nevada/2017/chapter-162a/statute-162a.530/" TargetMode="External"/><Relationship Id="rId20" Type="http://schemas.openxmlformats.org/officeDocument/2006/relationships/hyperlink" Target="https://law.justia.com/codes/nevada/2017/chapter-162a/statute-162a.570/"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justia.com/codes/nevada/2017/chapter-162a/statute-162a.480/" TargetMode="External"/><Relationship Id="rId24" Type="http://schemas.openxmlformats.org/officeDocument/2006/relationships/hyperlink" Target="https://law.justia.com/codes/nevada/2017/chapter-162a/statute-162a.610/" TargetMode="External"/><Relationship Id="rId5" Type="http://schemas.openxmlformats.org/officeDocument/2006/relationships/footnotes" Target="footnotes.xml"/><Relationship Id="rId15" Type="http://schemas.openxmlformats.org/officeDocument/2006/relationships/hyperlink" Target="https://law.justia.com/codes/nevada/2017/chapter-162a/statute-162a.520/" TargetMode="External"/><Relationship Id="rId23" Type="http://schemas.openxmlformats.org/officeDocument/2006/relationships/hyperlink" Target="https://law.justia.com/codes/nevada/2017/chapter-162a/statute-162a.600/" TargetMode="External"/><Relationship Id="rId28" Type="http://schemas.openxmlformats.org/officeDocument/2006/relationships/hyperlink" Target="https://eforms.com/living-trust/nv/nevada-revocable-living-trust-form/" TargetMode="External"/><Relationship Id="rId10" Type="http://schemas.openxmlformats.org/officeDocument/2006/relationships/hyperlink" Target="https://law.justia.com/codes/nevada/2017/chapter-162a/statute-162a.220/" TargetMode="External"/><Relationship Id="rId19" Type="http://schemas.openxmlformats.org/officeDocument/2006/relationships/hyperlink" Target="https://law.justia.com/codes/nevada/2017/chapter-162a/statute-162a.56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forms.com/power-of-attorney/nv/nevada-durable-statutory-power-of-attorney/" TargetMode="External"/><Relationship Id="rId14" Type="http://schemas.openxmlformats.org/officeDocument/2006/relationships/hyperlink" Target="https://law.justia.com/codes/nevada/2017/chapter-162a/statute-162a.510/" TargetMode="External"/><Relationship Id="rId22" Type="http://schemas.openxmlformats.org/officeDocument/2006/relationships/hyperlink" Target="https://law.justia.com/codes/nevada/2017/chapter-162a/statute-162a.590/" TargetMode="External"/><Relationship Id="rId27" Type="http://schemas.openxmlformats.org/officeDocument/2006/relationships/hyperlink" Target="https://law.justia.com/codes/nevada/2017/chapter-133/statute-133.040/"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Alabama Estate Planning Checklist</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Estate Planning Checklist</dc:title>
  <dc:subject/>
  <dc:creator>eForms</dc:creator>
  <dc:description/>
  <cp:lastModifiedBy>Jake Upex</cp:lastModifiedBy>
  <cp:revision>33</cp:revision>
  <dcterms:created xsi:type="dcterms:W3CDTF">2019-01-04T19:06:00Z</dcterms:created>
  <dcterms:modified xsi:type="dcterms:W3CDTF">2019-01-04T20:39:00Z</dcterms:modified>
</cp:coreProperties>
</file>