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ED6B" w14:textId="65DD144B" w:rsidR="00FF2F8B" w:rsidRDefault="005C527D">
      <w:pPr>
        <w:pStyle w:val="Heading1"/>
        <w:jc w:val="center"/>
        <w:rPr>
          <w:rFonts w:ascii="Arial" w:hAnsi="Arial" w:cs="Arial"/>
          <w:sz w:val="36"/>
          <w:szCs w:val="36"/>
        </w:rPr>
      </w:pPr>
      <w:r>
        <w:rPr>
          <w:rFonts w:ascii="Arial" w:hAnsi="Arial" w:cs="Arial"/>
          <w:sz w:val="36"/>
          <w:szCs w:val="36"/>
        </w:rPr>
        <w:t>NEW MEXICO</w:t>
      </w:r>
      <w:r w:rsidR="00A9662C">
        <w:rPr>
          <w:rFonts w:ascii="Arial" w:hAnsi="Arial" w:cs="Arial"/>
          <w:sz w:val="36"/>
          <w:szCs w:val="36"/>
        </w:rPr>
        <w:t xml:space="preserve"> ESTATE PLANNING CHECKLIST</w:t>
      </w:r>
    </w:p>
    <w:p w14:paraId="78F43F35" w14:textId="77777777" w:rsidR="00C4721A" w:rsidRDefault="00C4721A" w:rsidP="00C4721A">
      <w:pPr>
        <w:pStyle w:val="NormalWeb"/>
        <w:rPr>
          <w:rFonts w:ascii="Arial" w:hAnsi="Arial" w:cs="Arial"/>
          <w:sz w:val="27"/>
          <w:szCs w:val="27"/>
        </w:rPr>
      </w:pPr>
    </w:p>
    <w:p w14:paraId="3EDDA28C" w14:textId="43DB720C" w:rsidR="00C4721A" w:rsidRDefault="005C527D" w:rsidP="00C4721A">
      <w:pPr>
        <w:pStyle w:val="NormalWeb"/>
        <w:rPr>
          <w:rFonts w:ascii="Arial" w:hAnsi="Arial" w:cs="Arial"/>
          <w:sz w:val="27"/>
          <w:szCs w:val="27"/>
        </w:rPr>
      </w:pPr>
      <w:r>
        <w:rPr>
          <w:rFonts w:ascii="Arial" w:hAnsi="Arial" w:cs="Arial"/>
          <w:sz w:val="27"/>
          <w:szCs w:val="27"/>
        </w:rPr>
        <w:t xml:space="preserve">The following guide can assist a person in creating a functional and effective estate plan. We highly recommend hiring an attorney before beginning this process; even the smallest of errors or missteps can have major consequences. </w:t>
      </w:r>
    </w:p>
    <w:p w14:paraId="4973C80C" w14:textId="7E7EBA5A" w:rsidR="00C4721A" w:rsidRDefault="00C4721A">
      <w:pPr>
        <w:pStyle w:val="NormalWeb"/>
        <w:rPr>
          <w:rStyle w:val="Strong"/>
          <w:rFonts w:ascii="Arial" w:hAnsi="Arial" w:cs="Arial"/>
          <w:sz w:val="32"/>
          <w:szCs w:val="32"/>
        </w:rPr>
      </w:pPr>
    </w:p>
    <w:p w14:paraId="6E35C031" w14:textId="5426FDA7" w:rsidR="00C4721A" w:rsidRDefault="00A9662C">
      <w:pPr>
        <w:pStyle w:val="NormalWeb"/>
        <w:rPr>
          <w:rFonts w:ascii="Arial" w:hAnsi="Arial" w:cs="Arial"/>
          <w:sz w:val="27"/>
          <w:szCs w:val="27"/>
        </w:rPr>
      </w:pPr>
      <w:r>
        <w:rPr>
          <w:rStyle w:val="Strong"/>
          <w:rFonts w:ascii="Arial" w:hAnsi="Arial" w:cs="Arial"/>
          <w:sz w:val="32"/>
          <w:szCs w:val="32"/>
        </w:rPr>
        <w:t xml:space="preserve">Step 1 </w:t>
      </w:r>
      <w:r w:rsidR="005C527D">
        <w:rPr>
          <w:rStyle w:val="Strong"/>
          <w:rFonts w:ascii="Arial" w:hAnsi="Arial" w:cs="Arial"/>
          <w:sz w:val="32"/>
          <w:szCs w:val="32"/>
        </w:rPr>
        <w:t>- Appoint Health Care Agent</w:t>
      </w:r>
    </w:p>
    <w:p w14:paraId="6A63F37D" w14:textId="00F7E2FB" w:rsidR="00C4721A" w:rsidRDefault="00C4721A">
      <w:pPr>
        <w:pStyle w:val="NormalWeb"/>
        <w:rPr>
          <w:rStyle w:val="Strong"/>
          <w:rFonts w:ascii="Arial" w:hAnsi="Arial" w:cs="Arial"/>
          <w:sz w:val="32"/>
          <w:szCs w:val="32"/>
        </w:rPr>
      </w:pPr>
    </w:p>
    <w:p w14:paraId="1DFEF3E1" w14:textId="76DDC648" w:rsidR="00FF2F8B" w:rsidRDefault="005C527D" w:rsidP="00FE514C">
      <w:pPr>
        <w:pStyle w:val="NormalWeb"/>
        <w:rPr>
          <w:rStyle w:val="Strong"/>
          <w:rFonts w:ascii="Arial" w:hAnsi="Arial" w:cs="Arial"/>
          <w:b w:val="0"/>
          <w:sz w:val="27"/>
          <w:szCs w:val="27"/>
        </w:rPr>
      </w:pPr>
      <w:r>
        <w:rPr>
          <w:rStyle w:val="Strong"/>
          <w:rFonts w:ascii="Arial" w:hAnsi="Arial" w:cs="Arial"/>
          <w:b w:val="0"/>
          <w:sz w:val="27"/>
          <w:szCs w:val="27"/>
        </w:rPr>
        <w:t xml:space="preserve">A </w:t>
      </w:r>
      <w:r w:rsidRPr="005C527D">
        <w:rPr>
          <w:rStyle w:val="Strong"/>
          <w:rFonts w:ascii="Arial" w:hAnsi="Arial" w:cs="Arial"/>
          <w:sz w:val="27"/>
          <w:szCs w:val="27"/>
        </w:rPr>
        <w:t>health care agent</w:t>
      </w:r>
      <w:r>
        <w:rPr>
          <w:rStyle w:val="Strong"/>
          <w:rFonts w:ascii="Arial" w:hAnsi="Arial" w:cs="Arial"/>
          <w:b w:val="0"/>
          <w:sz w:val="27"/>
          <w:szCs w:val="27"/>
        </w:rPr>
        <w:t xml:space="preserve"> is an individual chosen by the principal to make medical decisions for them if they do not have the capacity to do so for themselves. This designation only comes into effect when/if the principal is disabled or incapacitated in some way. The agent is obligated, by execution of an Advance Directive form, to act on behalf of the principal’s best interests. A health care agent should be someone close to the principal, someone who knows and understands their values. This familiarity will help the agent make health care decisions that would be inline with the principal’s wishes. </w:t>
      </w:r>
    </w:p>
    <w:p w14:paraId="350CB776" w14:textId="6F611E3D" w:rsidR="005C527D" w:rsidRDefault="00026551" w:rsidP="00FE514C">
      <w:pPr>
        <w:pStyle w:val="NormalWeb"/>
        <w:rPr>
          <w:rFonts w:ascii="Arial" w:hAnsi="Arial" w:cs="Arial"/>
          <w:bCs/>
          <w:sz w:val="27"/>
          <w:szCs w:val="27"/>
        </w:rPr>
      </w:pPr>
      <w:hyperlink r:id="rId7" w:history="1">
        <w:r w:rsidR="005C527D" w:rsidRPr="005C527D">
          <w:rPr>
            <w:rStyle w:val="Hyperlink"/>
            <w:rFonts w:ascii="Arial" w:hAnsi="Arial" w:cs="Arial"/>
            <w:bCs/>
            <w:sz w:val="27"/>
            <w:szCs w:val="27"/>
          </w:rPr>
          <w:t>Advance Health Care Directive</w:t>
        </w:r>
      </w:hyperlink>
      <w:r w:rsidR="005C527D">
        <w:rPr>
          <w:rFonts w:ascii="Arial" w:hAnsi="Arial" w:cs="Arial"/>
          <w:bCs/>
          <w:sz w:val="27"/>
          <w:szCs w:val="27"/>
        </w:rPr>
        <w:t xml:space="preserve"> – This legal instrument outlines a principal’s wishes regarding the health care and medical treatment they do and do not wish to receive in varying circumstances. An Advance Directive is comprised of two sections: Durable Power of Attorney for Health Care (Part 1) and a Living Will (Part 2). Part 1 appoints a health care agent, while Part 2 conveys instructions regarding preferred treatments for potential afflictions and illnesses. </w:t>
      </w:r>
    </w:p>
    <w:p w14:paraId="7D3F5FF9" w14:textId="73001353" w:rsidR="00FE514C" w:rsidRPr="00FE514C" w:rsidRDefault="00FE514C" w:rsidP="00FE514C">
      <w:pPr>
        <w:pStyle w:val="NormalWeb"/>
        <w:numPr>
          <w:ilvl w:val="0"/>
          <w:numId w:val="6"/>
        </w:numPr>
        <w:rPr>
          <w:rFonts w:ascii="Arial" w:hAnsi="Arial" w:cs="Arial"/>
          <w:bCs/>
          <w:sz w:val="27"/>
          <w:szCs w:val="27"/>
        </w:rPr>
      </w:pPr>
      <w:r>
        <w:rPr>
          <w:rFonts w:ascii="Arial" w:hAnsi="Arial" w:cs="Arial"/>
          <w:b/>
          <w:bCs/>
          <w:sz w:val="27"/>
          <w:szCs w:val="27"/>
        </w:rPr>
        <w:t>Signing Requirements</w:t>
      </w:r>
      <w:r w:rsidR="005C527D">
        <w:rPr>
          <w:rFonts w:ascii="Arial" w:hAnsi="Arial" w:cs="Arial"/>
          <w:b/>
          <w:bCs/>
          <w:sz w:val="27"/>
          <w:szCs w:val="27"/>
        </w:rPr>
        <w:t xml:space="preserve"> </w:t>
      </w:r>
      <w:r w:rsidR="005C527D">
        <w:rPr>
          <w:rFonts w:ascii="Arial" w:hAnsi="Arial" w:cs="Arial"/>
          <w:bCs/>
          <w:sz w:val="27"/>
          <w:szCs w:val="27"/>
        </w:rPr>
        <w:t>(</w:t>
      </w:r>
      <w:hyperlink r:id="rId8" w:history="1">
        <w:r w:rsidR="005C527D" w:rsidRPr="005C527D">
          <w:rPr>
            <w:rStyle w:val="Hyperlink"/>
            <w:rFonts w:ascii="Arial" w:hAnsi="Arial" w:cs="Arial"/>
            <w:bCs/>
            <w:sz w:val="27"/>
            <w:szCs w:val="27"/>
            <w:lang w:val="en-CA"/>
          </w:rPr>
          <w:t>§ 24-7A-2</w:t>
        </w:r>
      </w:hyperlink>
      <w:r w:rsidR="005C527D">
        <w:rPr>
          <w:rFonts w:ascii="Arial" w:hAnsi="Arial" w:cs="Arial"/>
          <w:bCs/>
          <w:sz w:val="27"/>
          <w:szCs w:val="27"/>
          <w:lang w:val="en-CA"/>
        </w:rPr>
        <w:t xml:space="preserve">) – None, although it is recommended that two (2) witnesses acknowledge and sign the document. </w:t>
      </w:r>
    </w:p>
    <w:p w14:paraId="57866CBC" w14:textId="77777777" w:rsidR="00C4721A" w:rsidRDefault="00C4721A">
      <w:pPr>
        <w:pStyle w:val="Heading3"/>
        <w:rPr>
          <w:rStyle w:val="Strong"/>
          <w:rFonts w:ascii="Arial" w:hAnsi="Arial" w:cs="Arial"/>
          <w:b/>
          <w:bCs/>
          <w:sz w:val="32"/>
          <w:szCs w:val="32"/>
        </w:rPr>
      </w:pPr>
    </w:p>
    <w:p w14:paraId="58DEB19D" w14:textId="7359EB15" w:rsidR="00FF2F8B" w:rsidRDefault="00A9662C">
      <w:pPr>
        <w:pStyle w:val="Heading3"/>
      </w:pPr>
      <w:r>
        <w:rPr>
          <w:rStyle w:val="Strong"/>
          <w:rFonts w:ascii="Arial" w:hAnsi="Arial" w:cs="Arial"/>
          <w:b/>
          <w:bCs/>
          <w:sz w:val="32"/>
          <w:szCs w:val="32"/>
        </w:rPr>
        <w:t xml:space="preserve">Step 2 </w:t>
      </w:r>
      <w:r w:rsidR="005C527D">
        <w:rPr>
          <w:rStyle w:val="Strong"/>
          <w:rFonts w:ascii="Arial" w:hAnsi="Arial" w:cs="Arial"/>
          <w:b/>
          <w:bCs/>
          <w:sz w:val="32"/>
          <w:szCs w:val="32"/>
        </w:rPr>
        <w:t>- Appoint a Financial Agent</w:t>
      </w:r>
    </w:p>
    <w:p w14:paraId="1B4C1D12" w14:textId="77777777" w:rsidR="00C4721A" w:rsidRDefault="00C4721A">
      <w:pPr>
        <w:pStyle w:val="NormalWeb"/>
        <w:rPr>
          <w:rFonts w:ascii="Arial" w:hAnsi="Arial" w:cs="Arial"/>
          <w:sz w:val="27"/>
          <w:szCs w:val="27"/>
        </w:rPr>
      </w:pPr>
    </w:p>
    <w:p w14:paraId="35C8743C" w14:textId="58344299" w:rsidR="00523DD3" w:rsidRDefault="0091662A" w:rsidP="005C527D">
      <w:pPr>
        <w:pStyle w:val="NormalWeb"/>
        <w:rPr>
          <w:rFonts w:ascii="Arial" w:hAnsi="Arial" w:cs="Arial"/>
          <w:sz w:val="27"/>
          <w:szCs w:val="27"/>
        </w:rPr>
      </w:pPr>
      <w:r>
        <w:rPr>
          <w:rFonts w:ascii="Arial" w:hAnsi="Arial" w:cs="Arial"/>
          <w:sz w:val="27"/>
          <w:szCs w:val="27"/>
        </w:rPr>
        <w:t xml:space="preserve">A </w:t>
      </w:r>
      <w:r>
        <w:rPr>
          <w:rFonts w:ascii="Arial" w:hAnsi="Arial" w:cs="Arial"/>
          <w:b/>
          <w:sz w:val="27"/>
          <w:szCs w:val="27"/>
        </w:rPr>
        <w:t>financial agent</w:t>
      </w:r>
      <w:r>
        <w:rPr>
          <w:rFonts w:ascii="Arial" w:hAnsi="Arial" w:cs="Arial"/>
          <w:sz w:val="27"/>
          <w:szCs w:val="27"/>
        </w:rPr>
        <w:t xml:space="preserve"> </w:t>
      </w:r>
      <w:r w:rsidR="005C527D">
        <w:rPr>
          <w:rFonts w:ascii="Arial" w:hAnsi="Arial" w:cs="Arial"/>
          <w:sz w:val="27"/>
          <w:szCs w:val="27"/>
        </w:rPr>
        <w:t xml:space="preserve">is an individual designated to handle the principal’s property, assets, and other financial matters. Unlike a health care agent, a financial agent has the authority to act as the principal’s representative as soon as a Durable Power of Attorney is executed. The decisions to appoint a financial agent stems from a person wanting to plan for their future, i.e., to prepare for an unexpected mental or physical disability. </w:t>
      </w:r>
    </w:p>
    <w:p w14:paraId="67EBBF9F" w14:textId="34893DA7" w:rsidR="005C527D" w:rsidRDefault="00026551" w:rsidP="005C527D">
      <w:pPr>
        <w:pStyle w:val="NormalWeb"/>
        <w:rPr>
          <w:rFonts w:ascii="Arial" w:hAnsi="Arial" w:cs="Arial"/>
          <w:sz w:val="27"/>
          <w:szCs w:val="27"/>
        </w:rPr>
      </w:pPr>
      <w:hyperlink r:id="rId9" w:history="1">
        <w:r w:rsidR="005C527D" w:rsidRPr="006F2CBC">
          <w:rPr>
            <w:rStyle w:val="Hyperlink"/>
            <w:rFonts w:ascii="Arial" w:hAnsi="Arial" w:cs="Arial"/>
            <w:sz w:val="27"/>
            <w:szCs w:val="27"/>
          </w:rPr>
          <w:t>Durable (Financial) Power of Attorney</w:t>
        </w:r>
      </w:hyperlink>
      <w:r w:rsidR="005C527D">
        <w:rPr>
          <w:rFonts w:ascii="Arial" w:hAnsi="Arial" w:cs="Arial"/>
          <w:sz w:val="27"/>
          <w:szCs w:val="27"/>
        </w:rPr>
        <w:t xml:space="preserve"> – A Durable Power of Attorney appoints a financial agent to manage all </w:t>
      </w:r>
      <w:r w:rsidR="001B160D">
        <w:rPr>
          <w:rFonts w:ascii="Arial" w:hAnsi="Arial" w:cs="Arial"/>
          <w:sz w:val="27"/>
          <w:szCs w:val="27"/>
        </w:rPr>
        <w:t xml:space="preserve">(or a portion of) the principal’s assets, property, investments, and other financial matters pertaining to their estate. This is a very impactful document, and it should be executed with great care and consideration. The financial agent is awarded power of attorney as soon as the document is signed, and the power of attorney remains in full effect regardless of the principal’s state of mental and physical health. </w:t>
      </w:r>
    </w:p>
    <w:p w14:paraId="28F5082F" w14:textId="06E3409C" w:rsidR="00305370" w:rsidRPr="00523DD3" w:rsidRDefault="00305370" w:rsidP="00305370">
      <w:pPr>
        <w:pStyle w:val="NormalWeb"/>
        <w:numPr>
          <w:ilvl w:val="0"/>
          <w:numId w:val="6"/>
        </w:numPr>
        <w:rPr>
          <w:rFonts w:ascii="Arial" w:hAnsi="Arial" w:cs="Arial"/>
          <w:sz w:val="27"/>
          <w:szCs w:val="27"/>
        </w:rPr>
      </w:pPr>
      <w:r>
        <w:rPr>
          <w:rFonts w:ascii="Arial" w:hAnsi="Arial" w:cs="Arial"/>
          <w:b/>
          <w:sz w:val="27"/>
          <w:szCs w:val="27"/>
        </w:rPr>
        <w:t>Signing Requirements</w:t>
      </w:r>
      <w:r w:rsidR="001B160D">
        <w:rPr>
          <w:rFonts w:ascii="Arial" w:hAnsi="Arial" w:cs="Arial"/>
          <w:b/>
          <w:sz w:val="27"/>
          <w:szCs w:val="27"/>
        </w:rPr>
        <w:t xml:space="preserve"> </w:t>
      </w:r>
      <w:r w:rsidR="001B160D">
        <w:rPr>
          <w:rFonts w:ascii="Arial" w:hAnsi="Arial" w:cs="Arial"/>
          <w:sz w:val="27"/>
          <w:szCs w:val="27"/>
        </w:rPr>
        <w:t>(</w:t>
      </w:r>
      <w:hyperlink r:id="rId10" w:history="1">
        <w:r w:rsidR="001B160D" w:rsidRPr="001B160D">
          <w:rPr>
            <w:rStyle w:val="Hyperlink"/>
            <w:rFonts w:ascii="Arial" w:hAnsi="Arial" w:cs="Arial"/>
            <w:sz w:val="27"/>
            <w:szCs w:val="27"/>
            <w:lang w:val="en-CA"/>
          </w:rPr>
          <w:t>§ 45-5B-105</w:t>
        </w:r>
      </w:hyperlink>
      <w:r w:rsidR="001B160D">
        <w:rPr>
          <w:rFonts w:ascii="Arial" w:hAnsi="Arial" w:cs="Arial"/>
          <w:sz w:val="27"/>
          <w:szCs w:val="27"/>
          <w:lang w:val="en-CA"/>
        </w:rPr>
        <w:t xml:space="preserve">) – Must be acknowledged and signed by a notary public. </w:t>
      </w:r>
      <w:r>
        <w:rPr>
          <w:rFonts w:ascii="Arial" w:hAnsi="Arial" w:cs="Arial"/>
          <w:sz w:val="27"/>
          <w:szCs w:val="27"/>
          <w:lang w:val="en-CA"/>
        </w:rPr>
        <w:t xml:space="preserve"> </w:t>
      </w:r>
    </w:p>
    <w:p w14:paraId="55FD726F" w14:textId="77777777" w:rsidR="00BA7A60" w:rsidRPr="00BA7A60" w:rsidRDefault="00BA7A60" w:rsidP="00BA7A60">
      <w:pPr>
        <w:pStyle w:val="NormalWeb"/>
        <w:rPr>
          <w:rFonts w:ascii="Arial" w:hAnsi="Arial" w:cs="Arial"/>
          <w:sz w:val="27"/>
          <w:szCs w:val="27"/>
        </w:rPr>
      </w:pPr>
      <w:r w:rsidRPr="00BA7A60">
        <w:rPr>
          <w:rStyle w:val="Strong"/>
          <w:rFonts w:ascii="Arial" w:hAnsi="Arial" w:cs="Arial"/>
          <w:sz w:val="27"/>
          <w:szCs w:val="27"/>
        </w:rPr>
        <w:t>Financial Powers Allowed:</w:t>
      </w:r>
    </w:p>
    <w:p w14:paraId="771C021C" w14:textId="77777777"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Real property (</w:t>
      </w:r>
      <w:hyperlink r:id="rId11" w:history="1">
        <w:r w:rsidRPr="00BA7A60">
          <w:rPr>
            <w:rStyle w:val="Hyperlink"/>
            <w:rFonts w:ascii="Arial" w:hAnsi="Arial" w:cs="Arial"/>
            <w:sz w:val="27"/>
            <w:szCs w:val="27"/>
          </w:rPr>
          <w:t>§ 45-5B-204</w:t>
        </w:r>
      </w:hyperlink>
      <w:r w:rsidRPr="00BA7A60">
        <w:rPr>
          <w:rFonts w:ascii="Arial" w:hAnsi="Arial" w:cs="Arial"/>
          <w:sz w:val="27"/>
          <w:szCs w:val="27"/>
        </w:rPr>
        <w:t>);</w:t>
      </w:r>
    </w:p>
    <w:p w14:paraId="0889DAB2" w14:textId="77777777"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Tangible personal property (</w:t>
      </w:r>
      <w:hyperlink r:id="rId12" w:history="1">
        <w:r w:rsidRPr="00BA7A60">
          <w:rPr>
            <w:rStyle w:val="Hyperlink"/>
            <w:rFonts w:ascii="Arial" w:hAnsi="Arial" w:cs="Arial"/>
            <w:sz w:val="27"/>
            <w:szCs w:val="27"/>
          </w:rPr>
          <w:t>§ 45-5B-205</w:t>
        </w:r>
      </w:hyperlink>
      <w:r w:rsidRPr="00BA7A60">
        <w:rPr>
          <w:rFonts w:ascii="Arial" w:hAnsi="Arial" w:cs="Arial"/>
          <w:sz w:val="27"/>
          <w:szCs w:val="27"/>
        </w:rPr>
        <w:t>);</w:t>
      </w:r>
    </w:p>
    <w:p w14:paraId="2B978F25" w14:textId="77777777"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Stocks and bonds (</w:t>
      </w:r>
      <w:hyperlink r:id="rId13" w:history="1">
        <w:r w:rsidRPr="00BA7A60">
          <w:rPr>
            <w:rStyle w:val="Hyperlink"/>
            <w:rFonts w:ascii="Arial" w:hAnsi="Arial" w:cs="Arial"/>
            <w:sz w:val="27"/>
            <w:szCs w:val="27"/>
          </w:rPr>
          <w:t>§ 45-5B-206</w:t>
        </w:r>
      </w:hyperlink>
      <w:r w:rsidRPr="00BA7A60">
        <w:rPr>
          <w:rFonts w:ascii="Arial" w:hAnsi="Arial" w:cs="Arial"/>
          <w:sz w:val="27"/>
          <w:szCs w:val="27"/>
        </w:rPr>
        <w:t>);</w:t>
      </w:r>
    </w:p>
    <w:p w14:paraId="705B45EC" w14:textId="77777777"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Commodities and options (</w:t>
      </w:r>
      <w:hyperlink r:id="rId14" w:history="1">
        <w:r w:rsidRPr="00BA7A60">
          <w:rPr>
            <w:rStyle w:val="Hyperlink"/>
            <w:rFonts w:ascii="Arial" w:hAnsi="Arial" w:cs="Arial"/>
            <w:sz w:val="27"/>
            <w:szCs w:val="27"/>
          </w:rPr>
          <w:t>§ 45-5B-207</w:t>
        </w:r>
      </w:hyperlink>
      <w:r w:rsidRPr="00BA7A60">
        <w:rPr>
          <w:rFonts w:ascii="Arial" w:hAnsi="Arial" w:cs="Arial"/>
          <w:sz w:val="27"/>
          <w:szCs w:val="27"/>
        </w:rPr>
        <w:t>);</w:t>
      </w:r>
    </w:p>
    <w:p w14:paraId="78965383" w14:textId="77777777"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Banks and other financial institutions (</w:t>
      </w:r>
      <w:hyperlink r:id="rId15" w:history="1">
        <w:r w:rsidRPr="00BA7A60">
          <w:rPr>
            <w:rStyle w:val="Hyperlink"/>
            <w:rFonts w:ascii="Arial" w:hAnsi="Arial" w:cs="Arial"/>
            <w:sz w:val="27"/>
            <w:szCs w:val="27"/>
          </w:rPr>
          <w:t>§ 45-5B-208</w:t>
        </w:r>
      </w:hyperlink>
      <w:r w:rsidRPr="00BA7A60">
        <w:rPr>
          <w:rFonts w:ascii="Arial" w:hAnsi="Arial" w:cs="Arial"/>
          <w:sz w:val="27"/>
          <w:szCs w:val="27"/>
        </w:rPr>
        <w:t>);</w:t>
      </w:r>
    </w:p>
    <w:p w14:paraId="3A0EAE45" w14:textId="77777777"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Operation of entity or business (</w:t>
      </w:r>
      <w:hyperlink r:id="rId16" w:history="1">
        <w:r w:rsidRPr="00BA7A60">
          <w:rPr>
            <w:rStyle w:val="Hyperlink"/>
            <w:rFonts w:ascii="Arial" w:hAnsi="Arial" w:cs="Arial"/>
            <w:sz w:val="27"/>
            <w:szCs w:val="27"/>
          </w:rPr>
          <w:t>§ 45-5B-209</w:t>
        </w:r>
      </w:hyperlink>
      <w:r w:rsidRPr="00BA7A60">
        <w:rPr>
          <w:rFonts w:ascii="Arial" w:hAnsi="Arial" w:cs="Arial"/>
          <w:sz w:val="27"/>
          <w:szCs w:val="27"/>
        </w:rPr>
        <w:t>);</w:t>
      </w:r>
    </w:p>
    <w:p w14:paraId="60405346" w14:textId="77777777"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Insurance and annuities (</w:t>
      </w:r>
      <w:hyperlink r:id="rId17" w:history="1">
        <w:r w:rsidRPr="00BA7A60">
          <w:rPr>
            <w:rStyle w:val="Hyperlink"/>
            <w:rFonts w:ascii="Arial" w:hAnsi="Arial" w:cs="Arial"/>
            <w:sz w:val="27"/>
            <w:szCs w:val="27"/>
          </w:rPr>
          <w:t>§ 45-5B-210</w:t>
        </w:r>
      </w:hyperlink>
      <w:r w:rsidRPr="00BA7A60">
        <w:rPr>
          <w:rFonts w:ascii="Arial" w:hAnsi="Arial" w:cs="Arial"/>
          <w:sz w:val="27"/>
          <w:szCs w:val="27"/>
        </w:rPr>
        <w:t>);</w:t>
      </w:r>
    </w:p>
    <w:p w14:paraId="1EC785D7" w14:textId="77777777"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Estates, trust and other beneficial interests (</w:t>
      </w:r>
      <w:hyperlink r:id="rId18" w:history="1">
        <w:r w:rsidRPr="00BA7A60">
          <w:rPr>
            <w:rStyle w:val="Hyperlink"/>
            <w:rFonts w:ascii="Arial" w:hAnsi="Arial" w:cs="Arial"/>
            <w:sz w:val="27"/>
            <w:szCs w:val="27"/>
          </w:rPr>
          <w:t>§ 45-5B-211</w:t>
        </w:r>
      </w:hyperlink>
      <w:r w:rsidRPr="00BA7A60">
        <w:rPr>
          <w:rFonts w:ascii="Arial" w:hAnsi="Arial" w:cs="Arial"/>
          <w:sz w:val="27"/>
          <w:szCs w:val="27"/>
        </w:rPr>
        <w:t>);</w:t>
      </w:r>
    </w:p>
    <w:p w14:paraId="676641AD" w14:textId="77777777"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Claims and litigation (</w:t>
      </w:r>
      <w:hyperlink r:id="rId19" w:history="1">
        <w:r w:rsidRPr="00BA7A60">
          <w:rPr>
            <w:rStyle w:val="Hyperlink"/>
            <w:rFonts w:ascii="Arial" w:hAnsi="Arial" w:cs="Arial"/>
            <w:sz w:val="27"/>
            <w:szCs w:val="27"/>
          </w:rPr>
          <w:t>§ 45-5B-212</w:t>
        </w:r>
      </w:hyperlink>
      <w:r w:rsidRPr="00BA7A60">
        <w:rPr>
          <w:rFonts w:ascii="Arial" w:hAnsi="Arial" w:cs="Arial"/>
          <w:sz w:val="27"/>
          <w:szCs w:val="27"/>
        </w:rPr>
        <w:t>);</w:t>
      </w:r>
    </w:p>
    <w:p w14:paraId="58F26901" w14:textId="04845448"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P</w:t>
      </w:r>
      <w:r>
        <w:rPr>
          <w:rFonts w:ascii="Arial" w:hAnsi="Arial" w:cs="Arial"/>
          <w:sz w:val="27"/>
          <w:szCs w:val="27"/>
        </w:rPr>
        <w:t>e</w:t>
      </w:r>
      <w:r w:rsidRPr="00BA7A60">
        <w:rPr>
          <w:rFonts w:ascii="Arial" w:hAnsi="Arial" w:cs="Arial"/>
          <w:sz w:val="27"/>
          <w:szCs w:val="27"/>
        </w:rPr>
        <w:t>rsonal and family maintenance (</w:t>
      </w:r>
      <w:hyperlink r:id="rId20" w:history="1">
        <w:r w:rsidRPr="00BA7A60">
          <w:rPr>
            <w:rStyle w:val="Hyperlink"/>
            <w:rFonts w:ascii="Arial" w:hAnsi="Arial" w:cs="Arial"/>
            <w:sz w:val="27"/>
            <w:szCs w:val="27"/>
          </w:rPr>
          <w:t>§ 45-5B-213</w:t>
        </w:r>
      </w:hyperlink>
      <w:r w:rsidRPr="00BA7A60">
        <w:rPr>
          <w:rFonts w:ascii="Arial" w:hAnsi="Arial" w:cs="Arial"/>
          <w:sz w:val="27"/>
          <w:szCs w:val="27"/>
        </w:rPr>
        <w:t>);</w:t>
      </w:r>
    </w:p>
    <w:p w14:paraId="66B33F6D" w14:textId="77777777"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Benefits from governmental programs or civil or military service (</w:t>
      </w:r>
      <w:hyperlink r:id="rId21" w:history="1">
        <w:r w:rsidRPr="00BA7A60">
          <w:rPr>
            <w:rStyle w:val="Hyperlink"/>
            <w:rFonts w:ascii="Arial" w:hAnsi="Arial" w:cs="Arial"/>
            <w:sz w:val="27"/>
            <w:szCs w:val="27"/>
          </w:rPr>
          <w:t>§ 45-5B-214</w:t>
        </w:r>
      </w:hyperlink>
      <w:r w:rsidRPr="00BA7A60">
        <w:rPr>
          <w:rFonts w:ascii="Arial" w:hAnsi="Arial" w:cs="Arial"/>
          <w:sz w:val="27"/>
          <w:szCs w:val="27"/>
        </w:rPr>
        <w:t>);</w:t>
      </w:r>
    </w:p>
    <w:p w14:paraId="0595204D" w14:textId="77777777"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Retirement plans (</w:t>
      </w:r>
      <w:hyperlink r:id="rId22" w:history="1">
        <w:r w:rsidRPr="00BA7A60">
          <w:rPr>
            <w:rStyle w:val="Hyperlink"/>
            <w:rFonts w:ascii="Arial" w:hAnsi="Arial" w:cs="Arial"/>
            <w:sz w:val="27"/>
            <w:szCs w:val="27"/>
          </w:rPr>
          <w:t>§ 45-5B-215</w:t>
        </w:r>
      </w:hyperlink>
      <w:r w:rsidRPr="00BA7A60">
        <w:rPr>
          <w:rFonts w:ascii="Arial" w:hAnsi="Arial" w:cs="Arial"/>
          <w:sz w:val="27"/>
          <w:szCs w:val="27"/>
        </w:rPr>
        <w:t>);</w:t>
      </w:r>
    </w:p>
    <w:p w14:paraId="4504EC6F" w14:textId="77777777"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Taxes (</w:t>
      </w:r>
      <w:hyperlink r:id="rId23" w:history="1">
        <w:r w:rsidRPr="00BA7A60">
          <w:rPr>
            <w:rStyle w:val="Hyperlink"/>
            <w:rFonts w:ascii="Arial" w:hAnsi="Arial" w:cs="Arial"/>
            <w:sz w:val="27"/>
            <w:szCs w:val="27"/>
          </w:rPr>
          <w:t>§ 45-5B-216</w:t>
        </w:r>
      </w:hyperlink>
      <w:r w:rsidRPr="00BA7A60">
        <w:rPr>
          <w:rFonts w:ascii="Arial" w:hAnsi="Arial" w:cs="Arial"/>
          <w:sz w:val="27"/>
          <w:szCs w:val="27"/>
        </w:rPr>
        <w:t>); and</w:t>
      </w:r>
    </w:p>
    <w:p w14:paraId="68EF3C95" w14:textId="77777777" w:rsidR="00BA7A60" w:rsidRPr="00BA7A60" w:rsidRDefault="00BA7A60" w:rsidP="00BA7A60">
      <w:pPr>
        <w:numPr>
          <w:ilvl w:val="0"/>
          <w:numId w:val="8"/>
        </w:numPr>
        <w:suppressAutoHyphens w:val="0"/>
        <w:autoSpaceDN/>
        <w:spacing w:before="100" w:beforeAutospacing="1" w:after="100" w:afterAutospacing="1"/>
        <w:textAlignment w:val="auto"/>
        <w:rPr>
          <w:rFonts w:ascii="Arial" w:hAnsi="Arial" w:cs="Arial"/>
          <w:sz w:val="27"/>
          <w:szCs w:val="27"/>
        </w:rPr>
      </w:pPr>
      <w:r w:rsidRPr="00BA7A60">
        <w:rPr>
          <w:rFonts w:ascii="Arial" w:hAnsi="Arial" w:cs="Arial"/>
          <w:sz w:val="27"/>
          <w:szCs w:val="27"/>
        </w:rPr>
        <w:t>Gifts (</w:t>
      </w:r>
      <w:hyperlink r:id="rId24" w:history="1">
        <w:r w:rsidRPr="00BA7A60">
          <w:rPr>
            <w:rStyle w:val="Hyperlink"/>
            <w:rFonts w:ascii="Arial" w:hAnsi="Arial" w:cs="Arial"/>
            <w:sz w:val="27"/>
            <w:szCs w:val="27"/>
          </w:rPr>
          <w:t>§ 45-5B-217</w:t>
        </w:r>
      </w:hyperlink>
      <w:r w:rsidRPr="00BA7A60">
        <w:rPr>
          <w:rFonts w:ascii="Arial" w:hAnsi="Arial" w:cs="Arial"/>
          <w:sz w:val="27"/>
          <w:szCs w:val="27"/>
        </w:rPr>
        <w:t>). </w:t>
      </w:r>
    </w:p>
    <w:p w14:paraId="6F357759" w14:textId="5D8A9110" w:rsidR="00FF2F8B" w:rsidRDefault="00A9662C">
      <w:pPr>
        <w:pStyle w:val="Heading3"/>
      </w:pPr>
      <w:r>
        <w:rPr>
          <w:rStyle w:val="Strong"/>
          <w:rFonts w:ascii="Arial" w:hAnsi="Arial" w:cs="Arial"/>
          <w:b/>
          <w:bCs/>
          <w:sz w:val="32"/>
          <w:szCs w:val="32"/>
        </w:rPr>
        <w:t xml:space="preserve">Step 3 </w:t>
      </w:r>
      <w:r w:rsidR="00542C37">
        <w:rPr>
          <w:rStyle w:val="Strong"/>
          <w:rFonts w:ascii="Arial" w:hAnsi="Arial" w:cs="Arial"/>
          <w:b/>
          <w:bCs/>
          <w:sz w:val="32"/>
          <w:szCs w:val="32"/>
        </w:rPr>
        <w:t xml:space="preserve">- </w:t>
      </w:r>
      <w:r w:rsidR="00BA7A60">
        <w:rPr>
          <w:rStyle w:val="Strong"/>
          <w:rFonts w:ascii="Arial" w:hAnsi="Arial" w:cs="Arial"/>
          <w:b/>
          <w:bCs/>
          <w:sz w:val="32"/>
          <w:szCs w:val="32"/>
        </w:rPr>
        <w:t xml:space="preserve">Make a </w:t>
      </w:r>
      <w:r w:rsidR="00542C37">
        <w:rPr>
          <w:rStyle w:val="Strong"/>
          <w:rFonts w:ascii="Arial" w:hAnsi="Arial" w:cs="Arial"/>
          <w:b/>
          <w:bCs/>
          <w:sz w:val="32"/>
          <w:szCs w:val="32"/>
        </w:rPr>
        <w:t>List of Assets</w:t>
      </w:r>
    </w:p>
    <w:p w14:paraId="32A7CEEC" w14:textId="77777777" w:rsidR="00C4721A" w:rsidRDefault="00C4721A">
      <w:pPr>
        <w:pStyle w:val="NormalWeb"/>
        <w:rPr>
          <w:rFonts w:ascii="Arial" w:hAnsi="Arial" w:cs="Arial"/>
          <w:sz w:val="27"/>
          <w:szCs w:val="27"/>
        </w:rPr>
      </w:pPr>
    </w:p>
    <w:p w14:paraId="7130780E" w14:textId="466EE7CE" w:rsidR="00FF2F8B" w:rsidRDefault="00BA7A60">
      <w:pPr>
        <w:pStyle w:val="NormalWeb"/>
      </w:pPr>
      <w:r>
        <w:rPr>
          <w:rFonts w:ascii="Arial" w:hAnsi="Arial" w:cs="Arial"/>
          <w:sz w:val="27"/>
          <w:szCs w:val="27"/>
        </w:rPr>
        <w:t xml:space="preserve">Creating an estate plan will involve assembling a multitude of documents, files, and other items, so staying organized throughout the process is essential. With help from a </w:t>
      </w:r>
      <w:hyperlink r:id="rId25" w:history="1">
        <w:r w:rsidRPr="00BA7A60">
          <w:rPr>
            <w:rStyle w:val="Hyperlink"/>
            <w:rFonts w:ascii="Arial" w:hAnsi="Arial" w:cs="Arial"/>
            <w:sz w:val="27"/>
            <w:szCs w:val="27"/>
          </w:rPr>
          <w:t>Current Assets List</w:t>
        </w:r>
      </w:hyperlink>
      <w:r>
        <w:rPr>
          <w:rFonts w:ascii="Arial" w:hAnsi="Arial" w:cs="Arial"/>
          <w:sz w:val="27"/>
          <w:szCs w:val="27"/>
        </w:rPr>
        <w:t xml:space="preserve">, individuals creating an estate plan can keep track of all assets and property, ensuring that everything has been accounted for. </w:t>
      </w:r>
    </w:p>
    <w:p w14:paraId="7C37CE22" w14:textId="77777777" w:rsidR="00C4721A" w:rsidRDefault="00C4721A">
      <w:pPr>
        <w:pStyle w:val="Heading3"/>
        <w:rPr>
          <w:rStyle w:val="Strong"/>
          <w:rFonts w:ascii="Arial" w:hAnsi="Arial" w:cs="Arial"/>
          <w:b/>
          <w:bCs/>
          <w:sz w:val="32"/>
          <w:szCs w:val="32"/>
        </w:rPr>
      </w:pPr>
    </w:p>
    <w:p w14:paraId="6B7AB27C" w14:textId="4D1F20D3" w:rsidR="00FF2F8B" w:rsidRDefault="00A9662C">
      <w:pPr>
        <w:pStyle w:val="Heading3"/>
      </w:pPr>
      <w:r>
        <w:rPr>
          <w:rStyle w:val="Strong"/>
          <w:rFonts w:ascii="Arial" w:hAnsi="Arial" w:cs="Arial"/>
          <w:b/>
          <w:bCs/>
          <w:sz w:val="32"/>
          <w:szCs w:val="32"/>
        </w:rPr>
        <w:t>Step 4 -</w:t>
      </w:r>
      <w:r w:rsidR="00012B11">
        <w:rPr>
          <w:rStyle w:val="Strong"/>
          <w:rFonts w:ascii="Arial" w:hAnsi="Arial" w:cs="Arial"/>
          <w:b/>
          <w:bCs/>
          <w:sz w:val="32"/>
          <w:szCs w:val="32"/>
        </w:rPr>
        <w:t xml:space="preserve"> </w:t>
      </w:r>
      <w:r w:rsidR="00BA7A60">
        <w:rPr>
          <w:rStyle w:val="Strong"/>
          <w:rFonts w:ascii="Arial" w:hAnsi="Arial" w:cs="Arial"/>
          <w:b/>
          <w:bCs/>
          <w:sz w:val="32"/>
          <w:szCs w:val="32"/>
        </w:rPr>
        <w:t>Choose Who Will Receive an Inheritance</w:t>
      </w:r>
    </w:p>
    <w:p w14:paraId="0EE35B79" w14:textId="77777777" w:rsidR="00C4721A" w:rsidRDefault="00C4721A">
      <w:pPr>
        <w:pStyle w:val="NormalWeb"/>
        <w:rPr>
          <w:rFonts w:ascii="Arial" w:hAnsi="Arial" w:cs="Arial"/>
          <w:sz w:val="27"/>
          <w:szCs w:val="27"/>
        </w:rPr>
      </w:pPr>
    </w:p>
    <w:p w14:paraId="5D1E338F" w14:textId="603FF5DB" w:rsidR="00FF2F8B" w:rsidRPr="00012B11" w:rsidRDefault="00BA7A60">
      <w:pPr>
        <w:pStyle w:val="NormalWeb"/>
        <w:rPr>
          <w:rFonts w:ascii="Arial" w:hAnsi="Arial" w:cs="Arial"/>
          <w:sz w:val="27"/>
          <w:szCs w:val="27"/>
          <w:lang w:val="en-CA"/>
        </w:rPr>
      </w:pPr>
      <w:r>
        <w:rPr>
          <w:rFonts w:ascii="Arial" w:hAnsi="Arial" w:cs="Arial"/>
          <w:sz w:val="27"/>
          <w:szCs w:val="27"/>
        </w:rPr>
        <w:lastRenderedPageBreak/>
        <w:t xml:space="preserve">When a person dies, their estate is divided as per their wishes (conveyed through a Will or Trust document). The individuals designated to inherit </w:t>
      </w:r>
      <w:proofErr w:type="gramStart"/>
      <w:r>
        <w:rPr>
          <w:rFonts w:ascii="Arial" w:hAnsi="Arial" w:cs="Arial"/>
          <w:sz w:val="27"/>
          <w:szCs w:val="27"/>
        </w:rPr>
        <w:t>all</w:t>
      </w:r>
      <w:proofErr w:type="gramEnd"/>
      <w:r>
        <w:rPr>
          <w:rFonts w:ascii="Arial" w:hAnsi="Arial" w:cs="Arial"/>
          <w:sz w:val="27"/>
          <w:szCs w:val="27"/>
        </w:rPr>
        <w:t xml:space="preserve"> or a portion of the principal’s estate are called “</w:t>
      </w:r>
      <w:r w:rsidRPr="00BA7A60">
        <w:rPr>
          <w:rFonts w:ascii="Arial" w:hAnsi="Arial" w:cs="Arial"/>
          <w:b/>
          <w:sz w:val="27"/>
          <w:szCs w:val="27"/>
        </w:rPr>
        <w:t>beneficiaries</w:t>
      </w:r>
      <w:r>
        <w:rPr>
          <w:rFonts w:ascii="Arial" w:hAnsi="Arial" w:cs="Arial"/>
          <w:sz w:val="27"/>
          <w:szCs w:val="27"/>
        </w:rPr>
        <w:t xml:space="preserve">.” If no one is named beneficiary of a principal’s estate, the process for distributing their assets and other property becomes lengthy and complicated. </w:t>
      </w:r>
    </w:p>
    <w:p w14:paraId="7BCDC365" w14:textId="77777777" w:rsidR="00C4721A" w:rsidRDefault="00C4721A">
      <w:pPr>
        <w:pStyle w:val="Heading3"/>
        <w:rPr>
          <w:rStyle w:val="Strong"/>
          <w:rFonts w:ascii="Arial" w:hAnsi="Arial" w:cs="Arial"/>
          <w:b/>
          <w:bCs/>
          <w:sz w:val="32"/>
          <w:szCs w:val="32"/>
        </w:rPr>
      </w:pPr>
    </w:p>
    <w:p w14:paraId="6AACE02B" w14:textId="4E4E85A1" w:rsidR="00FF2F8B" w:rsidRDefault="00A9662C">
      <w:pPr>
        <w:pStyle w:val="Heading3"/>
      </w:pPr>
      <w:r>
        <w:rPr>
          <w:rStyle w:val="Strong"/>
          <w:rFonts w:ascii="Arial" w:hAnsi="Arial" w:cs="Arial"/>
          <w:b/>
          <w:bCs/>
          <w:sz w:val="32"/>
          <w:szCs w:val="32"/>
        </w:rPr>
        <w:t xml:space="preserve">Step 5 - </w:t>
      </w:r>
      <w:r w:rsidR="00BA7A60">
        <w:rPr>
          <w:rStyle w:val="Strong"/>
          <w:rFonts w:ascii="Arial" w:hAnsi="Arial" w:cs="Arial"/>
          <w:b/>
          <w:bCs/>
          <w:sz w:val="32"/>
          <w:szCs w:val="32"/>
        </w:rPr>
        <w:t>Execute a W</w:t>
      </w:r>
      <w:r w:rsidR="00E03F02">
        <w:rPr>
          <w:rStyle w:val="Strong"/>
          <w:rFonts w:ascii="Arial" w:hAnsi="Arial" w:cs="Arial"/>
          <w:b/>
          <w:bCs/>
          <w:sz w:val="32"/>
          <w:szCs w:val="32"/>
        </w:rPr>
        <w:t>ill and</w:t>
      </w:r>
      <w:r w:rsidR="00BA7A60">
        <w:rPr>
          <w:rStyle w:val="Strong"/>
          <w:rFonts w:ascii="Arial" w:hAnsi="Arial" w:cs="Arial"/>
          <w:b/>
          <w:bCs/>
          <w:sz w:val="32"/>
          <w:szCs w:val="32"/>
        </w:rPr>
        <w:t>/or</w:t>
      </w:r>
      <w:r w:rsidR="00E03F02">
        <w:rPr>
          <w:rStyle w:val="Strong"/>
          <w:rFonts w:ascii="Arial" w:hAnsi="Arial" w:cs="Arial"/>
          <w:b/>
          <w:bCs/>
          <w:sz w:val="32"/>
          <w:szCs w:val="32"/>
        </w:rPr>
        <w:t xml:space="preserve"> </w:t>
      </w:r>
      <w:r w:rsidR="00BA7A60">
        <w:rPr>
          <w:rStyle w:val="Strong"/>
          <w:rFonts w:ascii="Arial" w:hAnsi="Arial" w:cs="Arial"/>
          <w:b/>
          <w:bCs/>
          <w:sz w:val="32"/>
          <w:szCs w:val="32"/>
        </w:rPr>
        <w:t xml:space="preserve">a </w:t>
      </w:r>
      <w:r w:rsidR="00E03F02">
        <w:rPr>
          <w:rStyle w:val="Strong"/>
          <w:rFonts w:ascii="Arial" w:hAnsi="Arial" w:cs="Arial"/>
          <w:b/>
          <w:bCs/>
          <w:sz w:val="32"/>
          <w:szCs w:val="32"/>
        </w:rPr>
        <w:t>Living Trust</w:t>
      </w:r>
    </w:p>
    <w:p w14:paraId="399A1327" w14:textId="2963E391" w:rsidR="00C4721A" w:rsidRDefault="00C4721A" w:rsidP="00BA7A60">
      <w:pPr>
        <w:pStyle w:val="NormalWeb"/>
        <w:rPr>
          <w:rFonts w:ascii="Arial" w:hAnsi="Arial" w:cs="Arial"/>
          <w:sz w:val="27"/>
          <w:szCs w:val="27"/>
        </w:rPr>
      </w:pPr>
    </w:p>
    <w:p w14:paraId="781DE9A5" w14:textId="6928F493" w:rsidR="00BA7A60" w:rsidRDefault="00BA7A60" w:rsidP="00BA7A60">
      <w:pPr>
        <w:pStyle w:val="NormalWeb"/>
        <w:rPr>
          <w:rFonts w:ascii="Arial" w:hAnsi="Arial" w:cs="Arial"/>
          <w:sz w:val="27"/>
          <w:szCs w:val="27"/>
        </w:rPr>
      </w:pPr>
      <w:r>
        <w:rPr>
          <w:rFonts w:ascii="Arial" w:hAnsi="Arial" w:cs="Arial"/>
          <w:sz w:val="27"/>
          <w:szCs w:val="27"/>
        </w:rPr>
        <w:t xml:space="preserve">There are two (2) documents most commonly used for conveying one’s wishes regarding the distribution of one’s estate after death. A Last Will and Testament and a Revocable Living Trust share a few </w:t>
      </w:r>
      <w:proofErr w:type="gramStart"/>
      <w:r>
        <w:rPr>
          <w:rFonts w:ascii="Arial" w:hAnsi="Arial" w:cs="Arial"/>
          <w:sz w:val="27"/>
          <w:szCs w:val="27"/>
        </w:rPr>
        <w:t>characteristics</w:t>
      </w:r>
      <w:proofErr w:type="gramEnd"/>
      <w:r>
        <w:rPr>
          <w:rFonts w:ascii="Arial" w:hAnsi="Arial" w:cs="Arial"/>
          <w:sz w:val="27"/>
          <w:szCs w:val="27"/>
        </w:rPr>
        <w:t xml:space="preserve"> but</w:t>
      </w:r>
      <w:r w:rsidR="006F2CBC">
        <w:rPr>
          <w:rFonts w:ascii="Arial" w:hAnsi="Arial" w:cs="Arial"/>
          <w:sz w:val="27"/>
          <w:szCs w:val="27"/>
        </w:rPr>
        <w:t xml:space="preserve"> </w:t>
      </w:r>
      <w:r>
        <w:rPr>
          <w:rFonts w:ascii="Arial" w:hAnsi="Arial" w:cs="Arial"/>
          <w:sz w:val="27"/>
          <w:szCs w:val="27"/>
        </w:rPr>
        <w:t>they</w:t>
      </w:r>
      <w:r w:rsidR="006F2CBC">
        <w:rPr>
          <w:rFonts w:ascii="Arial" w:hAnsi="Arial" w:cs="Arial"/>
          <w:sz w:val="27"/>
          <w:szCs w:val="27"/>
        </w:rPr>
        <w:t xml:space="preserve"> are ultimately</w:t>
      </w:r>
      <w:r>
        <w:rPr>
          <w:rFonts w:ascii="Arial" w:hAnsi="Arial" w:cs="Arial"/>
          <w:sz w:val="27"/>
          <w:szCs w:val="27"/>
        </w:rPr>
        <w:t xml:space="preserve"> very different instruments. While a Trust is a very useful estate planning tool, it is recommended that everyone create a Will to ensure that there is no room for interpretation when it comes time to handle the principal’s affairs after they die. </w:t>
      </w:r>
    </w:p>
    <w:p w14:paraId="7377AC14" w14:textId="7C13FD09" w:rsidR="00BA7A60" w:rsidRDefault="00026551" w:rsidP="00BA7A60">
      <w:pPr>
        <w:pStyle w:val="NormalWeb"/>
        <w:rPr>
          <w:rFonts w:ascii="Arial" w:hAnsi="Arial" w:cs="Arial"/>
          <w:sz w:val="27"/>
          <w:szCs w:val="27"/>
        </w:rPr>
      </w:pPr>
      <w:hyperlink r:id="rId26" w:history="1">
        <w:r w:rsidR="00BA7A60" w:rsidRPr="00E11A9C">
          <w:rPr>
            <w:rStyle w:val="Hyperlink"/>
            <w:rFonts w:ascii="Arial" w:hAnsi="Arial" w:cs="Arial"/>
            <w:sz w:val="27"/>
            <w:szCs w:val="27"/>
          </w:rPr>
          <w:t>Last Will and Testament</w:t>
        </w:r>
      </w:hyperlink>
      <w:r w:rsidR="00BA7A60">
        <w:rPr>
          <w:rFonts w:ascii="Arial" w:hAnsi="Arial" w:cs="Arial"/>
          <w:sz w:val="27"/>
          <w:szCs w:val="27"/>
        </w:rPr>
        <w:t xml:space="preserve"> – A Will is a document executed by a principal, or “testator” as they are referred to, that contains directions for the distribution of their estate and all assets under their name after they die. An executor is named as the individual who will oversee the distribution process. As mention</w:t>
      </w:r>
      <w:r w:rsidR="00E11A9C">
        <w:rPr>
          <w:rFonts w:ascii="Arial" w:hAnsi="Arial" w:cs="Arial"/>
          <w:sz w:val="27"/>
          <w:szCs w:val="27"/>
        </w:rPr>
        <w:t xml:space="preserve">ed </w:t>
      </w:r>
      <w:r w:rsidR="00BA7A60">
        <w:rPr>
          <w:rFonts w:ascii="Arial" w:hAnsi="Arial" w:cs="Arial"/>
          <w:sz w:val="27"/>
          <w:szCs w:val="27"/>
        </w:rPr>
        <w:t xml:space="preserve">in Step 4, beneficiaries are to be named in the Will unto which property and other assets will be bestowed. A Will doesn’t just contain who gets what, it can also include instructions regarding debts and taxes, guardianship for children, and property management for children that are too young to handle such matters. After the </w:t>
      </w:r>
      <w:r w:rsidR="00E11A9C">
        <w:rPr>
          <w:rFonts w:ascii="Arial" w:hAnsi="Arial" w:cs="Arial"/>
          <w:sz w:val="27"/>
          <w:szCs w:val="27"/>
        </w:rPr>
        <w:t xml:space="preserve">testator’s death, a Will must go through probate court to ensure that the document was executed in accordance with State law. </w:t>
      </w:r>
    </w:p>
    <w:p w14:paraId="3AF1EEF8" w14:textId="705E938E" w:rsidR="00E11A9C" w:rsidRDefault="00E11A9C" w:rsidP="00E11A9C">
      <w:pPr>
        <w:pStyle w:val="NormalWeb"/>
        <w:numPr>
          <w:ilvl w:val="0"/>
          <w:numId w:val="6"/>
        </w:numPr>
        <w:rPr>
          <w:rFonts w:ascii="Arial" w:hAnsi="Arial" w:cs="Arial"/>
          <w:sz w:val="27"/>
          <w:szCs w:val="27"/>
          <w:lang w:val="en-CA"/>
        </w:rPr>
      </w:pPr>
      <w:r w:rsidRPr="00E11A9C">
        <w:rPr>
          <w:rFonts w:ascii="Arial" w:hAnsi="Arial" w:cs="Arial"/>
          <w:b/>
          <w:sz w:val="27"/>
          <w:szCs w:val="27"/>
        </w:rPr>
        <w:t>Signing</w:t>
      </w:r>
      <w:r>
        <w:rPr>
          <w:rFonts w:ascii="Arial" w:hAnsi="Arial" w:cs="Arial"/>
          <w:sz w:val="27"/>
          <w:szCs w:val="27"/>
        </w:rPr>
        <w:t xml:space="preserve"> </w:t>
      </w:r>
      <w:r w:rsidRPr="00E11A9C">
        <w:rPr>
          <w:rFonts w:ascii="Arial" w:hAnsi="Arial" w:cs="Arial"/>
          <w:b/>
          <w:sz w:val="27"/>
          <w:szCs w:val="27"/>
        </w:rPr>
        <w:t>Requirements</w:t>
      </w:r>
      <w:r>
        <w:rPr>
          <w:rFonts w:ascii="Arial" w:hAnsi="Arial" w:cs="Arial"/>
          <w:sz w:val="27"/>
          <w:szCs w:val="27"/>
        </w:rPr>
        <w:t xml:space="preserve"> (</w:t>
      </w:r>
      <w:hyperlink r:id="rId27" w:history="1">
        <w:r w:rsidRPr="00E11A9C">
          <w:rPr>
            <w:rStyle w:val="Hyperlink"/>
            <w:rFonts w:ascii="Arial" w:hAnsi="Arial" w:cs="Arial"/>
            <w:sz w:val="27"/>
            <w:szCs w:val="27"/>
            <w:lang w:val="en-CA"/>
          </w:rPr>
          <w:t>§ 45-2-502</w:t>
        </w:r>
      </w:hyperlink>
      <w:r>
        <w:rPr>
          <w:rFonts w:ascii="Arial" w:hAnsi="Arial" w:cs="Arial"/>
          <w:sz w:val="27"/>
          <w:szCs w:val="27"/>
          <w:lang w:val="en-CA"/>
        </w:rPr>
        <w:t xml:space="preserve">) – At least two (2) witnesses. </w:t>
      </w:r>
    </w:p>
    <w:p w14:paraId="2596D270" w14:textId="24CDDD21" w:rsidR="00E11A9C" w:rsidRDefault="00026551" w:rsidP="00BA7A60">
      <w:pPr>
        <w:pStyle w:val="NormalWeb"/>
        <w:rPr>
          <w:rFonts w:ascii="Arial" w:hAnsi="Arial" w:cs="Arial"/>
          <w:sz w:val="27"/>
          <w:szCs w:val="27"/>
          <w:lang w:val="en-CA"/>
        </w:rPr>
      </w:pPr>
      <w:hyperlink r:id="rId28" w:history="1">
        <w:r w:rsidR="00E11A9C" w:rsidRPr="00E11A9C">
          <w:rPr>
            <w:rStyle w:val="Hyperlink"/>
            <w:rFonts w:ascii="Arial" w:hAnsi="Arial" w:cs="Arial"/>
            <w:sz w:val="27"/>
            <w:szCs w:val="27"/>
            <w:lang w:val="en-CA"/>
          </w:rPr>
          <w:t>(Revocable) Living Trust</w:t>
        </w:r>
      </w:hyperlink>
      <w:r w:rsidR="00E11A9C">
        <w:rPr>
          <w:rFonts w:ascii="Arial" w:hAnsi="Arial" w:cs="Arial"/>
          <w:sz w:val="27"/>
          <w:szCs w:val="27"/>
          <w:lang w:val="en-CA"/>
        </w:rPr>
        <w:t xml:space="preserve"> – A Revocable Living Trust becomes an entity into which property can be transferred once the appropriate documents have been executed. This is a very effective estate planning tool for protecting property, avoiding lengthy court proceedings, and maintaining privacy. These are benefits that would be especially appealing to those with large estates or those who anticipate disagreements between family members or challenges from third parties. To execute a Living Trust, the grantor (principal) must appoint a trustee, a successor trustee, and one (</w:t>
      </w:r>
      <w:r w:rsidR="006F2CBC">
        <w:rPr>
          <w:rFonts w:ascii="Arial" w:hAnsi="Arial" w:cs="Arial"/>
          <w:sz w:val="27"/>
          <w:szCs w:val="27"/>
          <w:lang w:val="en-CA"/>
        </w:rPr>
        <w:t>1)</w:t>
      </w:r>
      <w:r w:rsidR="00E11A9C">
        <w:rPr>
          <w:rFonts w:ascii="Arial" w:hAnsi="Arial" w:cs="Arial"/>
          <w:sz w:val="27"/>
          <w:szCs w:val="27"/>
          <w:lang w:val="en-CA"/>
        </w:rPr>
        <w:t xml:space="preserve"> or more beneficiaries. A trustee (usually the grantor) manages the Trust, and the successor trustee takes over after the grantor’s death, providing the grantor is also the trustee. The named beneficiaries will receive </w:t>
      </w:r>
      <w:r w:rsidR="006F2CBC">
        <w:rPr>
          <w:rFonts w:ascii="Arial" w:hAnsi="Arial" w:cs="Arial"/>
          <w:sz w:val="27"/>
          <w:szCs w:val="27"/>
          <w:lang w:val="en-CA"/>
        </w:rPr>
        <w:t>the</w:t>
      </w:r>
      <w:r w:rsidR="00E11A9C">
        <w:rPr>
          <w:rFonts w:ascii="Arial" w:hAnsi="Arial" w:cs="Arial"/>
          <w:sz w:val="27"/>
          <w:szCs w:val="27"/>
          <w:lang w:val="en-CA"/>
        </w:rPr>
        <w:t xml:space="preserve"> portion of the grantor’s estate that </w:t>
      </w:r>
      <w:r w:rsidR="00E11A9C">
        <w:rPr>
          <w:rFonts w:ascii="Arial" w:hAnsi="Arial" w:cs="Arial"/>
          <w:sz w:val="27"/>
          <w:szCs w:val="27"/>
          <w:lang w:val="en-CA"/>
        </w:rPr>
        <w:lastRenderedPageBreak/>
        <w:t xml:space="preserve">was allotted to them as per the instructions of the Trust document. A Revocable Living Trust can be amended at any time during the grantor’s lifetime and will not have to go through probate after they die, therefore, it will remain out of public record. </w:t>
      </w:r>
    </w:p>
    <w:p w14:paraId="629606C2" w14:textId="24C3554F" w:rsidR="00E11A9C" w:rsidRPr="00E11A9C" w:rsidRDefault="00E11A9C" w:rsidP="00E11A9C">
      <w:pPr>
        <w:pStyle w:val="NormalWeb"/>
        <w:numPr>
          <w:ilvl w:val="0"/>
          <w:numId w:val="6"/>
        </w:numPr>
        <w:rPr>
          <w:rFonts w:ascii="Arial" w:hAnsi="Arial" w:cs="Arial"/>
          <w:sz w:val="27"/>
          <w:szCs w:val="27"/>
          <w:lang w:val="en-CA"/>
        </w:rPr>
      </w:pPr>
      <w:r w:rsidRPr="00E11A9C">
        <w:rPr>
          <w:rFonts w:ascii="Arial" w:hAnsi="Arial" w:cs="Arial"/>
          <w:b/>
          <w:sz w:val="27"/>
          <w:szCs w:val="27"/>
          <w:lang w:val="en-CA"/>
        </w:rPr>
        <w:t>Signing</w:t>
      </w:r>
      <w:r>
        <w:rPr>
          <w:rFonts w:ascii="Arial" w:hAnsi="Arial" w:cs="Arial"/>
          <w:sz w:val="27"/>
          <w:szCs w:val="27"/>
          <w:lang w:val="en-CA"/>
        </w:rPr>
        <w:t xml:space="preserve"> </w:t>
      </w:r>
      <w:r w:rsidRPr="00E11A9C">
        <w:rPr>
          <w:rFonts w:ascii="Arial" w:hAnsi="Arial" w:cs="Arial"/>
          <w:b/>
          <w:sz w:val="27"/>
          <w:szCs w:val="27"/>
          <w:lang w:val="en-CA"/>
        </w:rPr>
        <w:t>Requirements</w:t>
      </w:r>
      <w:r>
        <w:rPr>
          <w:rFonts w:ascii="Arial" w:hAnsi="Arial" w:cs="Arial"/>
          <w:sz w:val="27"/>
          <w:szCs w:val="27"/>
          <w:lang w:val="en-CA"/>
        </w:rPr>
        <w:t xml:space="preserve"> (</w:t>
      </w:r>
      <w:hyperlink r:id="rId29" w:history="1">
        <w:r w:rsidRPr="00026551">
          <w:rPr>
            <w:rStyle w:val="Hyperlink"/>
            <w:rFonts w:ascii="Arial" w:hAnsi="Arial" w:cs="Arial"/>
            <w:sz w:val="27"/>
            <w:szCs w:val="27"/>
            <w:lang w:val="en-CA"/>
          </w:rPr>
          <w:t>§ 46A-</w:t>
        </w:r>
        <w:r w:rsidR="00026551" w:rsidRPr="00026551">
          <w:rPr>
            <w:rStyle w:val="Hyperlink"/>
            <w:rFonts w:ascii="Arial" w:hAnsi="Arial" w:cs="Arial"/>
            <w:sz w:val="27"/>
            <w:szCs w:val="27"/>
            <w:lang w:val="en-CA"/>
          </w:rPr>
          <w:t>4-4</w:t>
        </w:r>
        <w:r w:rsidRPr="00026551">
          <w:rPr>
            <w:rStyle w:val="Hyperlink"/>
            <w:rFonts w:ascii="Arial" w:hAnsi="Arial" w:cs="Arial"/>
            <w:sz w:val="27"/>
            <w:szCs w:val="27"/>
            <w:lang w:val="en-CA"/>
          </w:rPr>
          <w:t>0</w:t>
        </w:r>
        <w:r w:rsidR="00026551" w:rsidRPr="00026551">
          <w:rPr>
            <w:rStyle w:val="Hyperlink"/>
            <w:rFonts w:ascii="Arial" w:hAnsi="Arial" w:cs="Arial"/>
            <w:sz w:val="27"/>
            <w:szCs w:val="27"/>
            <w:lang w:val="en-CA"/>
          </w:rPr>
          <w:t>2</w:t>
        </w:r>
      </w:hyperlink>
      <w:r>
        <w:rPr>
          <w:rFonts w:ascii="Arial" w:hAnsi="Arial" w:cs="Arial"/>
          <w:sz w:val="27"/>
          <w:szCs w:val="27"/>
          <w:lang w:val="en-CA"/>
        </w:rPr>
        <w:t xml:space="preserve">) – </w:t>
      </w:r>
      <w:r w:rsidR="00026551">
        <w:rPr>
          <w:rFonts w:ascii="Arial" w:hAnsi="Arial" w:cs="Arial"/>
          <w:sz w:val="27"/>
          <w:szCs w:val="27"/>
          <w:lang w:val="en-CA"/>
        </w:rPr>
        <w:t xml:space="preserve">A Trust can be created only if the requirements set forth in </w:t>
      </w:r>
      <w:r w:rsidR="00026551" w:rsidRPr="00026551">
        <w:rPr>
          <w:rFonts w:ascii="Arial" w:hAnsi="Arial" w:cs="Arial"/>
          <w:sz w:val="27"/>
          <w:szCs w:val="27"/>
          <w:lang w:val="en-CA"/>
        </w:rPr>
        <w:t>§</w:t>
      </w:r>
      <w:r w:rsidR="00026551">
        <w:rPr>
          <w:rFonts w:ascii="Arial" w:hAnsi="Arial" w:cs="Arial"/>
          <w:sz w:val="27"/>
          <w:szCs w:val="27"/>
          <w:lang w:val="en-CA"/>
        </w:rPr>
        <w:t xml:space="preserve"> 46A-4-402 are met. </w:t>
      </w:r>
      <w:bookmarkStart w:id="0" w:name="_GoBack"/>
      <w:bookmarkEnd w:id="0"/>
      <w:r>
        <w:rPr>
          <w:rFonts w:ascii="Arial" w:hAnsi="Arial" w:cs="Arial"/>
          <w:sz w:val="27"/>
          <w:szCs w:val="27"/>
          <w:lang w:val="en-CA"/>
        </w:rPr>
        <w:t xml:space="preserve"> </w:t>
      </w:r>
    </w:p>
    <w:p w14:paraId="5C46EA4A" w14:textId="77777777" w:rsidR="00C4721A" w:rsidRDefault="00C4721A">
      <w:pPr>
        <w:pStyle w:val="Heading3"/>
        <w:rPr>
          <w:rStyle w:val="Strong"/>
          <w:rFonts w:ascii="Arial" w:hAnsi="Arial" w:cs="Arial"/>
          <w:b/>
          <w:bCs/>
          <w:sz w:val="32"/>
          <w:szCs w:val="32"/>
        </w:rPr>
      </w:pPr>
    </w:p>
    <w:p w14:paraId="1E2D364A" w14:textId="6610956E" w:rsidR="00FF2F8B" w:rsidRDefault="00A9662C">
      <w:pPr>
        <w:pStyle w:val="Heading3"/>
      </w:pPr>
      <w:r>
        <w:rPr>
          <w:rStyle w:val="Strong"/>
          <w:rFonts w:ascii="Arial" w:hAnsi="Arial" w:cs="Arial"/>
          <w:b/>
          <w:bCs/>
          <w:sz w:val="32"/>
          <w:szCs w:val="32"/>
        </w:rPr>
        <w:t xml:space="preserve">Step 6 - </w:t>
      </w:r>
      <w:r w:rsidR="006F2CBC">
        <w:rPr>
          <w:rStyle w:val="Strong"/>
          <w:rFonts w:ascii="Arial" w:hAnsi="Arial" w:cs="Arial"/>
          <w:b/>
          <w:bCs/>
          <w:sz w:val="32"/>
          <w:szCs w:val="32"/>
        </w:rPr>
        <w:t>Safely Store</w:t>
      </w:r>
      <w:r>
        <w:rPr>
          <w:rStyle w:val="Strong"/>
          <w:rFonts w:ascii="Arial" w:hAnsi="Arial" w:cs="Arial"/>
          <w:b/>
          <w:bCs/>
          <w:sz w:val="32"/>
          <w:szCs w:val="32"/>
        </w:rPr>
        <w:t xml:space="preserve"> Documents</w:t>
      </w:r>
    </w:p>
    <w:p w14:paraId="64ED54BF" w14:textId="77777777" w:rsidR="00C4721A" w:rsidRDefault="00C4721A">
      <w:pPr>
        <w:pStyle w:val="NormalWeb"/>
        <w:rPr>
          <w:rFonts w:ascii="Arial" w:hAnsi="Arial" w:cs="Arial"/>
          <w:sz w:val="27"/>
          <w:szCs w:val="27"/>
        </w:rPr>
      </w:pPr>
    </w:p>
    <w:p w14:paraId="591AEBF1" w14:textId="797E7766" w:rsidR="00FF2F8B" w:rsidRDefault="006F2CBC">
      <w:pPr>
        <w:pStyle w:val="NormalWeb"/>
        <w:rPr>
          <w:rFonts w:ascii="Arial" w:hAnsi="Arial" w:cs="Arial"/>
          <w:sz w:val="27"/>
          <w:szCs w:val="27"/>
        </w:rPr>
      </w:pPr>
      <w:r>
        <w:rPr>
          <w:rFonts w:ascii="Arial" w:hAnsi="Arial" w:cs="Arial"/>
          <w:sz w:val="27"/>
          <w:szCs w:val="27"/>
        </w:rPr>
        <w:t xml:space="preserve">The best place to keep all important estate planning documents is in a safe or locked filing cabinet at one’s home or office. A spouse, financial agent, attorney, or other representative should be able to access these documents in case of emergency or in the event of the principal’s death. The principal could also provide copies of these documents to the </w:t>
      </w:r>
      <w:proofErr w:type="gramStart"/>
      <w:r>
        <w:rPr>
          <w:rFonts w:ascii="Arial" w:hAnsi="Arial" w:cs="Arial"/>
          <w:sz w:val="27"/>
          <w:szCs w:val="27"/>
        </w:rPr>
        <w:t>aforementioned parties</w:t>
      </w:r>
      <w:proofErr w:type="gramEnd"/>
      <w:r>
        <w:rPr>
          <w:rFonts w:ascii="Arial" w:hAnsi="Arial" w:cs="Arial"/>
          <w:sz w:val="27"/>
          <w:szCs w:val="27"/>
        </w:rPr>
        <w:t xml:space="preserve">. </w:t>
      </w:r>
    </w:p>
    <w:p w14:paraId="78DA7389" w14:textId="77777777" w:rsidR="00FF2F8B" w:rsidRDefault="00FF2F8B">
      <w:pPr>
        <w:rPr>
          <w:rFonts w:ascii="Arial" w:hAnsi="Arial" w:cs="Arial"/>
          <w:sz w:val="27"/>
          <w:szCs w:val="27"/>
        </w:rPr>
      </w:pPr>
    </w:p>
    <w:sectPr w:rsidR="00FF2F8B">
      <w:footerReference w:type="default" r:id="rId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22533" w14:textId="77777777" w:rsidR="00FC1E74" w:rsidRDefault="00FC1E74">
      <w:r>
        <w:separator/>
      </w:r>
    </w:p>
  </w:endnote>
  <w:endnote w:type="continuationSeparator" w:id="0">
    <w:p w14:paraId="21977FA0" w14:textId="77777777" w:rsidR="00FC1E74" w:rsidRDefault="00F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18F5" w14:textId="77777777" w:rsidR="00A43ED0" w:rsidRDefault="00A9662C">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8A8823D" wp14:editId="73996541">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8A8823D"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ECE5BA2" wp14:editId="224A6C7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3E31" w14:textId="77777777" w:rsidR="00FC1E74" w:rsidRDefault="00FC1E74">
      <w:r>
        <w:rPr>
          <w:color w:val="000000"/>
        </w:rPr>
        <w:separator/>
      </w:r>
    </w:p>
  </w:footnote>
  <w:footnote w:type="continuationSeparator" w:id="0">
    <w:p w14:paraId="6255152F" w14:textId="77777777" w:rsidR="00FC1E74" w:rsidRDefault="00FC1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356"/>
    <w:multiLevelType w:val="hybridMultilevel"/>
    <w:tmpl w:val="A7169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FB4365F"/>
    <w:multiLevelType w:val="multilevel"/>
    <w:tmpl w:val="1EC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71F8087B"/>
    <w:multiLevelType w:val="multilevel"/>
    <w:tmpl w:val="12CC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B"/>
    <w:rsid w:val="00012B11"/>
    <w:rsid w:val="00026551"/>
    <w:rsid w:val="000B5F38"/>
    <w:rsid w:val="000B73BE"/>
    <w:rsid w:val="00176C9F"/>
    <w:rsid w:val="00195F2D"/>
    <w:rsid w:val="001A2ADD"/>
    <w:rsid w:val="001B160D"/>
    <w:rsid w:val="0020233B"/>
    <w:rsid w:val="0023237E"/>
    <w:rsid w:val="00252406"/>
    <w:rsid w:val="00257375"/>
    <w:rsid w:val="00305370"/>
    <w:rsid w:val="00407C06"/>
    <w:rsid w:val="004457BE"/>
    <w:rsid w:val="004976B9"/>
    <w:rsid w:val="00523DD3"/>
    <w:rsid w:val="00542C37"/>
    <w:rsid w:val="005647E9"/>
    <w:rsid w:val="005739F0"/>
    <w:rsid w:val="005C527D"/>
    <w:rsid w:val="006A7801"/>
    <w:rsid w:val="006F2CBC"/>
    <w:rsid w:val="006F580A"/>
    <w:rsid w:val="007B4523"/>
    <w:rsid w:val="007F56A7"/>
    <w:rsid w:val="00823C44"/>
    <w:rsid w:val="00836D17"/>
    <w:rsid w:val="008A08BE"/>
    <w:rsid w:val="008A56A8"/>
    <w:rsid w:val="0091662A"/>
    <w:rsid w:val="009C4597"/>
    <w:rsid w:val="00A9662C"/>
    <w:rsid w:val="00B921A0"/>
    <w:rsid w:val="00BA7A60"/>
    <w:rsid w:val="00C4721A"/>
    <w:rsid w:val="00C93CCF"/>
    <w:rsid w:val="00DF0D79"/>
    <w:rsid w:val="00E03F02"/>
    <w:rsid w:val="00E05495"/>
    <w:rsid w:val="00E11A9C"/>
    <w:rsid w:val="00E160DE"/>
    <w:rsid w:val="00E44E5B"/>
    <w:rsid w:val="00E64CB8"/>
    <w:rsid w:val="00F32318"/>
    <w:rsid w:val="00F4652D"/>
    <w:rsid w:val="00FC1E74"/>
    <w:rsid w:val="00FE514C"/>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F4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1172">
      <w:bodyDiv w:val="1"/>
      <w:marLeft w:val="0"/>
      <w:marRight w:val="0"/>
      <w:marTop w:val="0"/>
      <w:marBottom w:val="0"/>
      <w:divBdr>
        <w:top w:val="none" w:sz="0" w:space="0" w:color="auto"/>
        <w:left w:val="none" w:sz="0" w:space="0" w:color="auto"/>
        <w:bottom w:val="none" w:sz="0" w:space="0" w:color="auto"/>
        <w:right w:val="none" w:sz="0" w:space="0" w:color="auto"/>
      </w:divBdr>
    </w:div>
    <w:div w:id="1551721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odes/new-mexico/2017/chapter-24/article-7a/section-24-7a-2/" TargetMode="External"/><Relationship Id="rId13" Type="http://schemas.openxmlformats.org/officeDocument/2006/relationships/hyperlink" Target="https://law.justia.com/codes/new-mexico/2017/chapter-45/article-5b/part-2/section-45-5b-206/index.html" TargetMode="External"/><Relationship Id="rId18" Type="http://schemas.openxmlformats.org/officeDocument/2006/relationships/hyperlink" Target="https://law.justia.com/codes/new-mexico/2017/chapter-45/article-5b/part-2/section-45-5b-211/index.html" TargetMode="External"/><Relationship Id="rId26" Type="http://schemas.openxmlformats.org/officeDocument/2006/relationships/hyperlink" Target="https://eforms.com/wills/new-mexico-last-will-and-testament-template/" TargetMode="External"/><Relationship Id="rId3" Type="http://schemas.openxmlformats.org/officeDocument/2006/relationships/settings" Target="settings.xml"/><Relationship Id="rId21" Type="http://schemas.openxmlformats.org/officeDocument/2006/relationships/hyperlink" Target="https://law.justia.com/codes/new-mexico/2017/chapter-45/article-5b/part-2/section-45-5b-214/index.html" TargetMode="External"/><Relationship Id="rId7" Type="http://schemas.openxmlformats.org/officeDocument/2006/relationships/hyperlink" Target="https://eforms.com/power-of-attorney/nm/new-mexico-advance-health-care-directive/" TargetMode="External"/><Relationship Id="rId12" Type="http://schemas.openxmlformats.org/officeDocument/2006/relationships/hyperlink" Target="https://law.justia.com/codes/new-mexico/2017/chapter-45/article-5b/part-2/section-45-5b-205/index.html" TargetMode="External"/><Relationship Id="rId17" Type="http://schemas.openxmlformats.org/officeDocument/2006/relationships/hyperlink" Target="https://law.justia.com/codes/new-mexico/2017/chapter-45/article-5b/part-2/section-45-5b-210/index.html" TargetMode="External"/><Relationship Id="rId25" Type="http://schemas.openxmlformats.org/officeDocument/2006/relationships/hyperlink" Target="https://eforms.com/estate-planning/current-assets-list/" TargetMode="External"/><Relationship Id="rId2" Type="http://schemas.openxmlformats.org/officeDocument/2006/relationships/styles" Target="styles.xml"/><Relationship Id="rId16" Type="http://schemas.openxmlformats.org/officeDocument/2006/relationships/hyperlink" Target="https://law.justia.com/codes/new-mexico/2017/chapter-45/article-5b/part-2/section-45-5b-209/index.html" TargetMode="External"/><Relationship Id="rId20" Type="http://schemas.openxmlformats.org/officeDocument/2006/relationships/hyperlink" Target="https://law.justia.com/codes/new-mexico/2017/chapter-45/article-5b/part-2/section-45-5b-213/index.html" TargetMode="External"/><Relationship Id="rId29" Type="http://schemas.openxmlformats.org/officeDocument/2006/relationships/hyperlink" Target="https://law.justia.com/codes/new-mexico/2017/chapter-46a/article-4/section-46a-4-4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odes/new-mexico/2017/chapter-45/article-5b/part-2/section-45-5b-204/index.html" TargetMode="External"/><Relationship Id="rId24" Type="http://schemas.openxmlformats.org/officeDocument/2006/relationships/hyperlink" Target="https://law.justia.com/codes/new-mexico/2017/chapter-45/article-5b/part-2/section-45-5b-217/index.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aw.justia.com/codes/new-mexico/2017/chapter-45/article-5b/part-2/section-45-5b-208/index.html" TargetMode="External"/><Relationship Id="rId23" Type="http://schemas.openxmlformats.org/officeDocument/2006/relationships/hyperlink" Target="https://law.justia.com/codes/new-mexico/2017/chapter-45/article-5b/part-2/section-45-5b-216/index.html" TargetMode="External"/><Relationship Id="rId28" Type="http://schemas.openxmlformats.org/officeDocument/2006/relationships/hyperlink" Target="https://eforms.com/living-trust/nm/new-mexico-revocable-living-trust-form/" TargetMode="External"/><Relationship Id="rId10" Type="http://schemas.openxmlformats.org/officeDocument/2006/relationships/hyperlink" Target="https://law.justia.com/codes/new-mexico/2017/chapter-45/article-5b/part-1/section-45-5b-105/" TargetMode="External"/><Relationship Id="rId19" Type="http://schemas.openxmlformats.org/officeDocument/2006/relationships/hyperlink" Target="https://law.justia.com/codes/new-mexico/2017/chapter-45/article-5b/part-2/section-45-5b-212/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forms.com/power-of-attorney/nm/new-mexico-durable-power-of-attorney/" TargetMode="External"/><Relationship Id="rId14" Type="http://schemas.openxmlformats.org/officeDocument/2006/relationships/hyperlink" Target="https://law.justia.com/codes/new-mexico/2017/chapter-45/article-5b/part-2/section-45-5b-207/index.html" TargetMode="External"/><Relationship Id="rId22" Type="http://schemas.openxmlformats.org/officeDocument/2006/relationships/hyperlink" Target="https://law.justia.com/codes/new-mexico/2017/chapter-45/article-5b/part-2/section-45-5b-215/index.html" TargetMode="External"/><Relationship Id="rId27" Type="http://schemas.openxmlformats.org/officeDocument/2006/relationships/hyperlink" Target="https://law.justia.com/codes/new-mexico/2017/chapter-45/article-2/part-5/section-45-2-502/"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Alabama Estate Planning Checklist</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Estate Planning Checklist</dc:title>
  <dc:subject/>
  <dc:creator>eForms</dc:creator>
  <dc:description/>
  <cp:lastModifiedBy>Jake Upex</cp:lastModifiedBy>
  <cp:revision>3</cp:revision>
  <dcterms:created xsi:type="dcterms:W3CDTF">2019-01-05T18:33:00Z</dcterms:created>
  <dcterms:modified xsi:type="dcterms:W3CDTF">2019-01-07T21:17:00Z</dcterms:modified>
</cp:coreProperties>
</file>