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52C0D25A" w:rsidR="00FF2F8B" w:rsidRDefault="005C527D">
      <w:pPr>
        <w:pStyle w:val="Heading1"/>
        <w:jc w:val="center"/>
        <w:rPr>
          <w:rFonts w:ascii="Arial" w:hAnsi="Arial" w:cs="Arial"/>
          <w:sz w:val="36"/>
          <w:szCs w:val="36"/>
        </w:rPr>
      </w:pPr>
      <w:r>
        <w:rPr>
          <w:rFonts w:ascii="Arial" w:hAnsi="Arial" w:cs="Arial"/>
          <w:sz w:val="36"/>
          <w:szCs w:val="36"/>
        </w:rPr>
        <w:t xml:space="preserve">NEW </w:t>
      </w:r>
      <w:r w:rsidR="008E08D9">
        <w:rPr>
          <w:rFonts w:ascii="Arial" w:hAnsi="Arial" w:cs="Arial"/>
          <w:sz w:val="36"/>
          <w:szCs w:val="36"/>
        </w:rPr>
        <w:t>YORK</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3EDDA28C" w14:textId="69F434B6" w:rsidR="00C4721A" w:rsidRDefault="008E08D9" w:rsidP="00C4721A">
      <w:pPr>
        <w:pStyle w:val="NormalWeb"/>
        <w:rPr>
          <w:rFonts w:ascii="Arial" w:hAnsi="Arial" w:cs="Arial"/>
          <w:sz w:val="27"/>
          <w:szCs w:val="27"/>
        </w:rPr>
      </w:pPr>
      <w:r>
        <w:rPr>
          <w:rFonts w:ascii="Arial" w:hAnsi="Arial" w:cs="Arial"/>
          <w:sz w:val="27"/>
          <w:szCs w:val="27"/>
        </w:rPr>
        <w:t>The following steps provide instructions on how to carry out each estate planning task. Every person, estate, and situation</w:t>
      </w:r>
      <w:r w:rsidR="00B97C39">
        <w:rPr>
          <w:rFonts w:ascii="Arial" w:hAnsi="Arial" w:cs="Arial"/>
          <w:sz w:val="27"/>
          <w:szCs w:val="27"/>
        </w:rPr>
        <w:t xml:space="preserve"> </w:t>
      </w:r>
      <w:proofErr w:type="gramStart"/>
      <w:r w:rsidR="00B97C39">
        <w:rPr>
          <w:rFonts w:ascii="Arial" w:hAnsi="Arial" w:cs="Arial"/>
          <w:sz w:val="27"/>
          <w:szCs w:val="27"/>
        </w:rPr>
        <w:t>is</w:t>
      </w:r>
      <w:proofErr w:type="gramEnd"/>
      <w:r w:rsidR="00B97C39">
        <w:rPr>
          <w:rFonts w:ascii="Arial" w:hAnsi="Arial" w:cs="Arial"/>
          <w:sz w:val="27"/>
          <w:szCs w:val="27"/>
        </w:rPr>
        <w:t xml:space="preserve"> unique; therefore, we highly suggest that everyone retain legal counsel before executing these estate planning documents. </w:t>
      </w:r>
    </w:p>
    <w:p w14:paraId="4973C80C" w14:textId="7E7EBA5A" w:rsidR="00C4721A" w:rsidRDefault="00C4721A">
      <w:pPr>
        <w:pStyle w:val="NormalWeb"/>
        <w:rPr>
          <w:rStyle w:val="Strong"/>
          <w:rFonts w:ascii="Arial" w:hAnsi="Arial" w:cs="Arial"/>
          <w:sz w:val="32"/>
          <w:szCs w:val="32"/>
        </w:rPr>
      </w:pPr>
    </w:p>
    <w:p w14:paraId="6E35C031" w14:textId="55122A89"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5C527D">
        <w:rPr>
          <w:rStyle w:val="Strong"/>
          <w:rFonts w:ascii="Arial" w:hAnsi="Arial" w:cs="Arial"/>
          <w:sz w:val="32"/>
          <w:szCs w:val="32"/>
        </w:rPr>
        <w:t xml:space="preserve">- Health Care </w:t>
      </w:r>
      <w:r w:rsidR="00B97C39">
        <w:rPr>
          <w:rStyle w:val="Strong"/>
          <w:rFonts w:ascii="Arial" w:hAnsi="Arial" w:cs="Arial"/>
          <w:sz w:val="32"/>
          <w:szCs w:val="32"/>
        </w:rPr>
        <w:t>Proxy</w:t>
      </w:r>
    </w:p>
    <w:p w14:paraId="6A63F37D" w14:textId="00F7E2FB" w:rsidR="00C4721A" w:rsidRDefault="00C4721A">
      <w:pPr>
        <w:pStyle w:val="NormalWeb"/>
        <w:rPr>
          <w:rStyle w:val="Strong"/>
          <w:rFonts w:ascii="Arial" w:hAnsi="Arial" w:cs="Arial"/>
          <w:sz w:val="32"/>
          <w:szCs w:val="32"/>
        </w:rPr>
      </w:pPr>
    </w:p>
    <w:p w14:paraId="350CB776" w14:textId="672DA9B8" w:rsidR="005C527D" w:rsidRDefault="00B97C39" w:rsidP="00FE514C">
      <w:pPr>
        <w:pStyle w:val="NormalWeb"/>
        <w:rPr>
          <w:rStyle w:val="Strong"/>
          <w:rFonts w:ascii="Arial" w:hAnsi="Arial" w:cs="Arial"/>
          <w:b w:val="0"/>
          <w:sz w:val="27"/>
          <w:szCs w:val="27"/>
        </w:rPr>
      </w:pPr>
      <w:r>
        <w:rPr>
          <w:rStyle w:val="Strong"/>
          <w:rFonts w:ascii="Arial" w:hAnsi="Arial" w:cs="Arial"/>
          <w:b w:val="0"/>
          <w:sz w:val="27"/>
          <w:szCs w:val="27"/>
        </w:rPr>
        <w:t xml:space="preserve">The execution of a Health Care Proxy involves the appointment of a </w:t>
      </w:r>
      <w:r w:rsidRPr="00B97C39">
        <w:rPr>
          <w:rStyle w:val="Strong"/>
          <w:rFonts w:ascii="Arial" w:hAnsi="Arial" w:cs="Arial"/>
          <w:sz w:val="27"/>
          <w:szCs w:val="27"/>
        </w:rPr>
        <w:t>health</w:t>
      </w:r>
      <w:r>
        <w:rPr>
          <w:rStyle w:val="Strong"/>
          <w:rFonts w:ascii="Arial" w:hAnsi="Arial" w:cs="Arial"/>
          <w:b w:val="0"/>
          <w:sz w:val="27"/>
          <w:szCs w:val="27"/>
        </w:rPr>
        <w:t xml:space="preserve"> </w:t>
      </w:r>
      <w:r w:rsidRPr="00B97C39">
        <w:rPr>
          <w:rStyle w:val="Strong"/>
          <w:rFonts w:ascii="Arial" w:hAnsi="Arial" w:cs="Arial"/>
          <w:sz w:val="27"/>
          <w:szCs w:val="27"/>
        </w:rPr>
        <w:t>care</w:t>
      </w:r>
      <w:r>
        <w:rPr>
          <w:rStyle w:val="Strong"/>
          <w:rFonts w:ascii="Arial" w:hAnsi="Arial" w:cs="Arial"/>
          <w:b w:val="0"/>
          <w:sz w:val="27"/>
          <w:szCs w:val="27"/>
        </w:rPr>
        <w:t xml:space="preserve"> </w:t>
      </w:r>
      <w:r w:rsidRPr="00B97C39">
        <w:rPr>
          <w:rStyle w:val="Strong"/>
          <w:rFonts w:ascii="Arial" w:hAnsi="Arial" w:cs="Arial"/>
          <w:sz w:val="27"/>
          <w:szCs w:val="27"/>
        </w:rPr>
        <w:t>agent</w:t>
      </w:r>
      <w:r>
        <w:rPr>
          <w:rStyle w:val="Strong"/>
          <w:rFonts w:ascii="Arial" w:hAnsi="Arial" w:cs="Arial"/>
          <w:b w:val="0"/>
          <w:sz w:val="27"/>
          <w:szCs w:val="27"/>
        </w:rPr>
        <w:t xml:space="preserve">, a person who will make medical decisions on behalf of a principal (individual executing the document). A health care agent will gain power only if the principal becomes incapacitated; that is, should they at any point be incapable of making important medical decisions for themselves. The principal should appoint an individual who is close to them, who knows their values, and, more importantly, who will take these values into consideration when making any health care choices for the principal. </w:t>
      </w:r>
    </w:p>
    <w:p w14:paraId="5DD4F7F9" w14:textId="1A1F8492" w:rsidR="00B97C39" w:rsidRDefault="001E5FC8" w:rsidP="00FE514C">
      <w:pPr>
        <w:pStyle w:val="NormalWeb"/>
        <w:rPr>
          <w:rFonts w:ascii="Arial" w:hAnsi="Arial" w:cs="Arial"/>
          <w:bCs/>
          <w:sz w:val="27"/>
          <w:szCs w:val="27"/>
        </w:rPr>
      </w:pPr>
      <w:hyperlink r:id="rId7" w:history="1">
        <w:r w:rsidR="00B97C39" w:rsidRPr="00944F7B">
          <w:rPr>
            <w:rStyle w:val="Hyperlink"/>
            <w:rFonts w:ascii="Arial" w:hAnsi="Arial" w:cs="Arial"/>
            <w:bCs/>
            <w:sz w:val="27"/>
            <w:szCs w:val="27"/>
          </w:rPr>
          <w:t>Health Care Proxy</w:t>
        </w:r>
      </w:hyperlink>
      <w:r w:rsidR="00B97C39">
        <w:rPr>
          <w:rFonts w:ascii="Arial" w:hAnsi="Arial" w:cs="Arial"/>
          <w:bCs/>
          <w:sz w:val="27"/>
          <w:szCs w:val="27"/>
        </w:rPr>
        <w:t xml:space="preserve"> – A Health Care Proxy, or Medical POA, contains instructions regarding the type of medical treatment and health care a principal will receive in the event of incapacitation. A health care agent is also appointed through execution of this document and they </w:t>
      </w:r>
      <w:proofErr w:type="gramStart"/>
      <w:r w:rsidR="00B97C39">
        <w:rPr>
          <w:rFonts w:ascii="Arial" w:hAnsi="Arial" w:cs="Arial"/>
          <w:bCs/>
          <w:sz w:val="27"/>
          <w:szCs w:val="27"/>
        </w:rPr>
        <w:t>are in charge of</w:t>
      </w:r>
      <w:proofErr w:type="gramEnd"/>
      <w:r w:rsidR="00B97C39">
        <w:rPr>
          <w:rFonts w:ascii="Arial" w:hAnsi="Arial" w:cs="Arial"/>
          <w:bCs/>
          <w:sz w:val="27"/>
          <w:szCs w:val="27"/>
        </w:rPr>
        <w:t xml:space="preserve"> communicating the principal’s health care wishes to medical professionals and health care providers. A Health Care Proxy can include limitations regarding the agent’s authority, otherwise the agent will have carte blanche </w:t>
      </w:r>
      <w:proofErr w:type="gramStart"/>
      <w:r w:rsidR="00B97C39">
        <w:rPr>
          <w:rFonts w:ascii="Arial" w:hAnsi="Arial" w:cs="Arial"/>
          <w:bCs/>
          <w:sz w:val="27"/>
          <w:szCs w:val="27"/>
        </w:rPr>
        <w:t>in regard to</w:t>
      </w:r>
      <w:proofErr w:type="gramEnd"/>
      <w:r w:rsidR="00B97C39">
        <w:rPr>
          <w:rFonts w:ascii="Arial" w:hAnsi="Arial" w:cs="Arial"/>
          <w:bCs/>
          <w:sz w:val="27"/>
          <w:szCs w:val="27"/>
        </w:rPr>
        <w:t xml:space="preserve"> the types of medical treatment the principal will receive. </w:t>
      </w:r>
    </w:p>
    <w:p w14:paraId="7D3F5FF9" w14:textId="0A3FCB79" w:rsidR="00FE514C" w:rsidRPr="00FE514C" w:rsidRDefault="00FE514C" w:rsidP="00FE514C">
      <w:pPr>
        <w:pStyle w:val="NormalWeb"/>
        <w:numPr>
          <w:ilvl w:val="0"/>
          <w:numId w:val="6"/>
        </w:numPr>
        <w:rPr>
          <w:rFonts w:ascii="Arial" w:hAnsi="Arial" w:cs="Arial"/>
          <w:bCs/>
          <w:sz w:val="27"/>
          <w:szCs w:val="27"/>
        </w:rPr>
      </w:pPr>
      <w:r>
        <w:rPr>
          <w:rFonts w:ascii="Arial" w:hAnsi="Arial" w:cs="Arial"/>
          <w:b/>
          <w:bCs/>
          <w:sz w:val="27"/>
          <w:szCs w:val="27"/>
        </w:rPr>
        <w:t>Signing Requirements</w:t>
      </w:r>
      <w:r w:rsidR="005C527D">
        <w:rPr>
          <w:rFonts w:ascii="Arial" w:hAnsi="Arial" w:cs="Arial"/>
          <w:b/>
          <w:bCs/>
          <w:sz w:val="27"/>
          <w:szCs w:val="27"/>
        </w:rPr>
        <w:t xml:space="preserve"> </w:t>
      </w:r>
      <w:r w:rsidR="005C527D">
        <w:rPr>
          <w:rFonts w:ascii="Arial" w:hAnsi="Arial" w:cs="Arial"/>
          <w:bCs/>
          <w:sz w:val="27"/>
          <w:szCs w:val="27"/>
        </w:rPr>
        <w:t>(</w:t>
      </w:r>
      <w:hyperlink r:id="rId8" w:history="1">
        <w:r w:rsidR="00B97C39" w:rsidRPr="00944F7B">
          <w:rPr>
            <w:rStyle w:val="Hyperlink"/>
            <w:rFonts w:ascii="Arial" w:hAnsi="Arial" w:cs="Arial"/>
            <w:bCs/>
            <w:sz w:val="27"/>
            <w:szCs w:val="27"/>
            <w:lang w:val="en-CA"/>
          </w:rPr>
          <w:t>PBH § 2981</w:t>
        </w:r>
      </w:hyperlink>
      <w:r w:rsidR="00B97C39">
        <w:rPr>
          <w:rFonts w:ascii="Arial" w:hAnsi="Arial" w:cs="Arial"/>
          <w:bCs/>
          <w:sz w:val="27"/>
          <w:szCs w:val="27"/>
          <w:lang w:val="en-CA"/>
        </w:rPr>
        <w:t xml:space="preserve">) – The principal and two (2) witnesses. </w:t>
      </w:r>
      <w:r w:rsidR="005C527D">
        <w:rPr>
          <w:rFonts w:ascii="Arial" w:hAnsi="Arial" w:cs="Arial"/>
          <w:bCs/>
          <w:sz w:val="27"/>
          <w:szCs w:val="27"/>
          <w:lang w:val="en-CA"/>
        </w:rPr>
        <w:t xml:space="preserve"> </w:t>
      </w:r>
    </w:p>
    <w:p w14:paraId="57866CBC" w14:textId="77777777" w:rsidR="00C4721A" w:rsidRDefault="00C4721A">
      <w:pPr>
        <w:pStyle w:val="Heading3"/>
        <w:rPr>
          <w:rStyle w:val="Strong"/>
          <w:rFonts w:ascii="Arial" w:hAnsi="Arial" w:cs="Arial"/>
          <w:b/>
          <w:bCs/>
          <w:sz w:val="32"/>
          <w:szCs w:val="32"/>
        </w:rPr>
      </w:pPr>
    </w:p>
    <w:p w14:paraId="58DEB19D" w14:textId="6BF309C0" w:rsidR="00FF2F8B" w:rsidRDefault="00A9662C">
      <w:pPr>
        <w:pStyle w:val="Heading3"/>
      </w:pPr>
      <w:r>
        <w:rPr>
          <w:rStyle w:val="Strong"/>
          <w:rFonts w:ascii="Arial" w:hAnsi="Arial" w:cs="Arial"/>
          <w:b/>
          <w:bCs/>
          <w:sz w:val="32"/>
          <w:szCs w:val="32"/>
        </w:rPr>
        <w:t xml:space="preserve">Step 2 </w:t>
      </w:r>
      <w:r w:rsidR="005C527D">
        <w:rPr>
          <w:rStyle w:val="Strong"/>
          <w:rFonts w:ascii="Arial" w:hAnsi="Arial" w:cs="Arial"/>
          <w:b/>
          <w:bCs/>
          <w:sz w:val="32"/>
          <w:szCs w:val="32"/>
        </w:rPr>
        <w:t xml:space="preserve">- </w:t>
      </w:r>
      <w:r w:rsidR="00B97C39">
        <w:rPr>
          <w:rStyle w:val="Strong"/>
          <w:rFonts w:ascii="Arial" w:hAnsi="Arial" w:cs="Arial"/>
          <w:b/>
          <w:bCs/>
          <w:sz w:val="32"/>
          <w:szCs w:val="32"/>
        </w:rPr>
        <w:t>Durable</w:t>
      </w:r>
      <w:r w:rsidR="005C527D">
        <w:rPr>
          <w:rStyle w:val="Strong"/>
          <w:rFonts w:ascii="Arial" w:hAnsi="Arial" w:cs="Arial"/>
          <w:b/>
          <w:bCs/>
          <w:sz w:val="32"/>
          <w:szCs w:val="32"/>
        </w:rPr>
        <w:t xml:space="preserve"> </w:t>
      </w:r>
      <w:r w:rsidR="00B97C39">
        <w:rPr>
          <w:rStyle w:val="Strong"/>
          <w:rFonts w:ascii="Arial" w:hAnsi="Arial" w:cs="Arial"/>
          <w:b/>
          <w:bCs/>
          <w:sz w:val="32"/>
          <w:szCs w:val="32"/>
        </w:rPr>
        <w:t>(</w:t>
      </w:r>
      <w:r w:rsidR="005C527D">
        <w:rPr>
          <w:rStyle w:val="Strong"/>
          <w:rFonts w:ascii="Arial" w:hAnsi="Arial" w:cs="Arial"/>
          <w:b/>
          <w:bCs/>
          <w:sz w:val="32"/>
          <w:szCs w:val="32"/>
        </w:rPr>
        <w:t>Financial</w:t>
      </w:r>
      <w:r w:rsidR="00B97C39">
        <w:rPr>
          <w:rStyle w:val="Strong"/>
          <w:rFonts w:ascii="Arial" w:hAnsi="Arial" w:cs="Arial"/>
          <w:b/>
          <w:bCs/>
          <w:sz w:val="32"/>
          <w:szCs w:val="32"/>
        </w:rPr>
        <w:t>)</w:t>
      </w:r>
      <w:r w:rsidR="005C527D">
        <w:rPr>
          <w:rStyle w:val="Strong"/>
          <w:rFonts w:ascii="Arial" w:hAnsi="Arial" w:cs="Arial"/>
          <w:b/>
          <w:bCs/>
          <w:sz w:val="32"/>
          <w:szCs w:val="32"/>
        </w:rPr>
        <w:t xml:space="preserve"> </w:t>
      </w:r>
      <w:r w:rsidR="00B97C39">
        <w:rPr>
          <w:rStyle w:val="Strong"/>
          <w:rFonts w:ascii="Arial" w:hAnsi="Arial" w:cs="Arial"/>
          <w:b/>
          <w:bCs/>
          <w:sz w:val="32"/>
          <w:szCs w:val="32"/>
        </w:rPr>
        <w:t>Power of Attorney</w:t>
      </w:r>
    </w:p>
    <w:p w14:paraId="1B4C1D12" w14:textId="77777777" w:rsidR="00C4721A" w:rsidRDefault="00C4721A">
      <w:pPr>
        <w:pStyle w:val="NormalWeb"/>
        <w:rPr>
          <w:rFonts w:ascii="Arial" w:hAnsi="Arial" w:cs="Arial"/>
          <w:sz w:val="27"/>
          <w:szCs w:val="27"/>
        </w:rPr>
      </w:pPr>
    </w:p>
    <w:p w14:paraId="67EBBF9F" w14:textId="7C726826" w:rsidR="005C527D" w:rsidRDefault="00B97C39" w:rsidP="005C527D">
      <w:pPr>
        <w:pStyle w:val="NormalWeb"/>
        <w:rPr>
          <w:rFonts w:ascii="Arial" w:hAnsi="Arial" w:cs="Arial"/>
          <w:sz w:val="27"/>
          <w:szCs w:val="27"/>
        </w:rPr>
      </w:pPr>
      <w:r>
        <w:rPr>
          <w:rFonts w:ascii="Arial" w:hAnsi="Arial" w:cs="Arial"/>
          <w:sz w:val="27"/>
          <w:szCs w:val="27"/>
        </w:rPr>
        <w:t xml:space="preserve">A </w:t>
      </w:r>
      <w:r w:rsidRPr="001E5FC8">
        <w:rPr>
          <w:rFonts w:ascii="Arial" w:hAnsi="Arial" w:cs="Arial"/>
          <w:b/>
          <w:sz w:val="27"/>
          <w:szCs w:val="27"/>
        </w:rPr>
        <w:t>financ</w:t>
      </w:r>
      <w:bookmarkStart w:id="0" w:name="_GoBack"/>
      <w:bookmarkEnd w:id="0"/>
      <w:r w:rsidRPr="001E5FC8">
        <w:rPr>
          <w:rFonts w:ascii="Arial" w:hAnsi="Arial" w:cs="Arial"/>
          <w:b/>
          <w:sz w:val="27"/>
          <w:szCs w:val="27"/>
        </w:rPr>
        <w:t>ial</w:t>
      </w:r>
      <w:r>
        <w:rPr>
          <w:rFonts w:ascii="Arial" w:hAnsi="Arial" w:cs="Arial"/>
          <w:sz w:val="27"/>
          <w:szCs w:val="27"/>
        </w:rPr>
        <w:t xml:space="preserve"> </w:t>
      </w:r>
      <w:r w:rsidRPr="001E5FC8">
        <w:rPr>
          <w:rFonts w:ascii="Arial" w:hAnsi="Arial" w:cs="Arial"/>
          <w:b/>
          <w:sz w:val="27"/>
          <w:szCs w:val="27"/>
        </w:rPr>
        <w:t>agent</w:t>
      </w:r>
      <w:r>
        <w:rPr>
          <w:rFonts w:ascii="Arial" w:hAnsi="Arial" w:cs="Arial"/>
          <w:sz w:val="27"/>
          <w:szCs w:val="27"/>
        </w:rPr>
        <w:t xml:space="preserve">, or simply “agent” as per the Power of Attorney document mentioned below, is authorized to make financial decisions on behalf of the principal who executed the POA. Unlike a health care agent, a financial agent gains power as soon as the POA document is signed. Appointing a financial agent is an important step because it means the principal’s estate will be looked after even if they become mentally or physically incapacitated. A </w:t>
      </w:r>
      <w:r>
        <w:rPr>
          <w:rFonts w:ascii="Arial" w:hAnsi="Arial" w:cs="Arial"/>
          <w:sz w:val="27"/>
          <w:szCs w:val="27"/>
        </w:rPr>
        <w:lastRenderedPageBreak/>
        <w:t xml:space="preserve">financial agent wields a great deal of power; therefore, the principal should appoint a trustworthy individual. </w:t>
      </w:r>
    </w:p>
    <w:p w14:paraId="616532C2" w14:textId="075620DF" w:rsidR="00B97C39" w:rsidRDefault="001E5FC8" w:rsidP="005C527D">
      <w:pPr>
        <w:pStyle w:val="NormalWeb"/>
        <w:rPr>
          <w:rFonts w:ascii="Arial" w:hAnsi="Arial" w:cs="Arial"/>
          <w:sz w:val="27"/>
          <w:szCs w:val="27"/>
        </w:rPr>
      </w:pPr>
      <w:hyperlink r:id="rId9" w:history="1">
        <w:r w:rsidR="00B97C39" w:rsidRPr="002375AE">
          <w:rPr>
            <w:rStyle w:val="Hyperlink"/>
            <w:rFonts w:ascii="Arial" w:hAnsi="Arial" w:cs="Arial"/>
            <w:sz w:val="27"/>
            <w:szCs w:val="27"/>
          </w:rPr>
          <w:t>Durable (Financial) Power of Attorney</w:t>
        </w:r>
      </w:hyperlink>
      <w:r w:rsidR="00B97C39">
        <w:rPr>
          <w:rFonts w:ascii="Arial" w:hAnsi="Arial" w:cs="Arial"/>
          <w:sz w:val="27"/>
          <w:szCs w:val="27"/>
        </w:rPr>
        <w:t xml:space="preserve"> – A legal document that appoints a financial agent to the principal’s estate. A Durable POA contains instructions on how the principal would like the agent to handle certain assets, accounts investments, and other financial matters. The agent’s power is limited to finances, and they cannot make health care decisions for the principal. This document can be amended or revoked at any time by the principal. </w:t>
      </w:r>
    </w:p>
    <w:p w14:paraId="28F5082F" w14:textId="349CA596" w:rsidR="00305370" w:rsidRPr="00523DD3" w:rsidRDefault="00305370" w:rsidP="00305370">
      <w:pPr>
        <w:pStyle w:val="NormalWeb"/>
        <w:numPr>
          <w:ilvl w:val="0"/>
          <w:numId w:val="6"/>
        </w:numPr>
        <w:rPr>
          <w:rFonts w:ascii="Arial" w:hAnsi="Arial" w:cs="Arial"/>
          <w:sz w:val="27"/>
          <w:szCs w:val="27"/>
        </w:rPr>
      </w:pPr>
      <w:r>
        <w:rPr>
          <w:rFonts w:ascii="Arial" w:hAnsi="Arial" w:cs="Arial"/>
          <w:b/>
          <w:sz w:val="27"/>
          <w:szCs w:val="27"/>
        </w:rPr>
        <w:t>Signing Requirements</w:t>
      </w:r>
      <w:r w:rsidR="001B160D">
        <w:rPr>
          <w:rFonts w:ascii="Arial" w:hAnsi="Arial" w:cs="Arial"/>
          <w:b/>
          <w:sz w:val="27"/>
          <w:szCs w:val="27"/>
        </w:rPr>
        <w:t xml:space="preserve"> </w:t>
      </w:r>
      <w:r w:rsidR="00B97C39">
        <w:rPr>
          <w:rFonts w:ascii="Arial" w:hAnsi="Arial" w:cs="Arial"/>
          <w:sz w:val="27"/>
          <w:szCs w:val="27"/>
        </w:rPr>
        <w:t>(</w:t>
      </w:r>
      <w:hyperlink r:id="rId10" w:history="1">
        <w:r w:rsidR="002375AE" w:rsidRPr="002375AE">
          <w:rPr>
            <w:rStyle w:val="Hyperlink"/>
            <w:rFonts w:ascii="Arial" w:hAnsi="Arial" w:cs="Arial"/>
            <w:sz w:val="27"/>
            <w:szCs w:val="27"/>
            <w:lang w:val="en-CA"/>
          </w:rPr>
          <w:t>GOB § 5-1501B</w:t>
        </w:r>
      </w:hyperlink>
      <w:r w:rsidR="002375AE">
        <w:rPr>
          <w:rFonts w:ascii="Arial" w:hAnsi="Arial" w:cs="Arial"/>
          <w:sz w:val="27"/>
          <w:szCs w:val="27"/>
          <w:lang w:val="en-CA"/>
        </w:rPr>
        <w:t xml:space="preserve">) – Signatures of principal and agent must be acknowledged in the manner prescribed for the acknowledgment of a conveyance of real property; i.e., a justice of the supreme court, an official examiner of title, an official referee, or a notary public. </w:t>
      </w:r>
    </w:p>
    <w:p w14:paraId="55FD726F" w14:textId="77777777" w:rsidR="00BA7A60" w:rsidRPr="00BA7A60" w:rsidRDefault="00BA7A60" w:rsidP="00BA7A60">
      <w:pPr>
        <w:pStyle w:val="NormalWeb"/>
        <w:rPr>
          <w:rFonts w:ascii="Arial" w:hAnsi="Arial" w:cs="Arial"/>
          <w:sz w:val="27"/>
          <w:szCs w:val="27"/>
        </w:rPr>
      </w:pPr>
      <w:r w:rsidRPr="00BA7A60">
        <w:rPr>
          <w:rStyle w:val="Strong"/>
          <w:rFonts w:ascii="Arial" w:hAnsi="Arial" w:cs="Arial"/>
          <w:sz w:val="27"/>
          <w:szCs w:val="27"/>
        </w:rPr>
        <w:t>Financial Powers Allowed:</w:t>
      </w:r>
    </w:p>
    <w:p w14:paraId="39AEFC0B"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Real estate transactions (</w:t>
      </w:r>
      <w:hyperlink r:id="rId11" w:tgtFrame="_blank" w:history="1">
        <w:r w:rsidRPr="002375AE">
          <w:rPr>
            <w:rStyle w:val="Hyperlink"/>
            <w:rFonts w:ascii="Arial" w:hAnsi="Arial" w:cs="Arial"/>
            <w:sz w:val="27"/>
            <w:szCs w:val="27"/>
          </w:rPr>
          <w:t>GOB § 5-1502A</w:t>
        </w:r>
      </w:hyperlink>
      <w:r w:rsidRPr="002375AE">
        <w:rPr>
          <w:rFonts w:ascii="Arial" w:hAnsi="Arial" w:cs="Arial"/>
          <w:sz w:val="27"/>
          <w:szCs w:val="27"/>
        </w:rPr>
        <w:t>);</w:t>
      </w:r>
    </w:p>
    <w:p w14:paraId="0907F3DD"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Chattel and goods transactions (</w:t>
      </w:r>
      <w:hyperlink r:id="rId12" w:tgtFrame="_blank" w:history="1">
        <w:r w:rsidRPr="002375AE">
          <w:rPr>
            <w:rStyle w:val="Hyperlink"/>
            <w:rFonts w:ascii="Arial" w:hAnsi="Arial" w:cs="Arial"/>
            <w:sz w:val="27"/>
            <w:szCs w:val="27"/>
          </w:rPr>
          <w:t>GOB § 5-1502B</w:t>
        </w:r>
      </w:hyperlink>
      <w:r w:rsidRPr="002375AE">
        <w:rPr>
          <w:rFonts w:ascii="Arial" w:hAnsi="Arial" w:cs="Arial"/>
          <w:sz w:val="27"/>
          <w:szCs w:val="27"/>
        </w:rPr>
        <w:t>);</w:t>
      </w:r>
    </w:p>
    <w:p w14:paraId="11230BCD"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Bond, share and commodity transactions (</w:t>
      </w:r>
      <w:hyperlink r:id="rId13" w:tgtFrame="_blank" w:history="1">
        <w:r w:rsidRPr="002375AE">
          <w:rPr>
            <w:rStyle w:val="Hyperlink"/>
            <w:rFonts w:ascii="Arial" w:hAnsi="Arial" w:cs="Arial"/>
            <w:sz w:val="27"/>
            <w:szCs w:val="27"/>
          </w:rPr>
          <w:t>GOB § 5-1502C</w:t>
        </w:r>
      </w:hyperlink>
      <w:r w:rsidRPr="002375AE">
        <w:rPr>
          <w:rFonts w:ascii="Arial" w:hAnsi="Arial" w:cs="Arial"/>
          <w:sz w:val="27"/>
          <w:szCs w:val="27"/>
        </w:rPr>
        <w:t>);</w:t>
      </w:r>
    </w:p>
    <w:p w14:paraId="088878E4"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Banking transactions (</w:t>
      </w:r>
      <w:hyperlink r:id="rId14" w:tgtFrame="_blank" w:history="1">
        <w:r w:rsidRPr="002375AE">
          <w:rPr>
            <w:rStyle w:val="Hyperlink"/>
            <w:rFonts w:ascii="Arial" w:hAnsi="Arial" w:cs="Arial"/>
            <w:sz w:val="27"/>
            <w:szCs w:val="27"/>
          </w:rPr>
          <w:t>GOB § 5-1502D</w:t>
        </w:r>
      </w:hyperlink>
      <w:r w:rsidRPr="002375AE">
        <w:rPr>
          <w:rFonts w:ascii="Arial" w:hAnsi="Arial" w:cs="Arial"/>
          <w:sz w:val="27"/>
          <w:szCs w:val="27"/>
        </w:rPr>
        <w:t>);</w:t>
      </w:r>
    </w:p>
    <w:p w14:paraId="769265E4"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Business operating transactions (</w:t>
      </w:r>
      <w:hyperlink r:id="rId15" w:tgtFrame="_blank" w:history="1">
        <w:r w:rsidRPr="002375AE">
          <w:rPr>
            <w:rStyle w:val="Hyperlink"/>
            <w:rFonts w:ascii="Arial" w:hAnsi="Arial" w:cs="Arial"/>
            <w:sz w:val="27"/>
            <w:szCs w:val="27"/>
          </w:rPr>
          <w:t>GOB § 5-1502E</w:t>
        </w:r>
      </w:hyperlink>
      <w:r w:rsidRPr="002375AE">
        <w:rPr>
          <w:rFonts w:ascii="Arial" w:hAnsi="Arial" w:cs="Arial"/>
          <w:sz w:val="27"/>
          <w:szCs w:val="27"/>
        </w:rPr>
        <w:t>);</w:t>
      </w:r>
    </w:p>
    <w:p w14:paraId="695BDC54"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Insurance transactions (</w:t>
      </w:r>
      <w:hyperlink r:id="rId16" w:tgtFrame="_blank" w:history="1">
        <w:r w:rsidRPr="002375AE">
          <w:rPr>
            <w:rStyle w:val="Hyperlink"/>
            <w:rFonts w:ascii="Arial" w:hAnsi="Arial" w:cs="Arial"/>
            <w:sz w:val="27"/>
            <w:szCs w:val="27"/>
          </w:rPr>
          <w:t>GOB § 5-1502F</w:t>
        </w:r>
      </w:hyperlink>
      <w:r w:rsidRPr="002375AE">
        <w:rPr>
          <w:rFonts w:ascii="Arial" w:hAnsi="Arial" w:cs="Arial"/>
          <w:sz w:val="27"/>
          <w:szCs w:val="27"/>
        </w:rPr>
        <w:t>);</w:t>
      </w:r>
    </w:p>
    <w:p w14:paraId="04207024"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Estate transactions (</w:t>
      </w:r>
      <w:hyperlink r:id="rId17" w:tgtFrame="_blank" w:history="1">
        <w:r w:rsidRPr="002375AE">
          <w:rPr>
            <w:rStyle w:val="Hyperlink"/>
            <w:rFonts w:ascii="Arial" w:hAnsi="Arial" w:cs="Arial"/>
            <w:sz w:val="27"/>
            <w:szCs w:val="27"/>
          </w:rPr>
          <w:t>GOB § 5-1502G</w:t>
        </w:r>
      </w:hyperlink>
      <w:r w:rsidRPr="002375AE">
        <w:rPr>
          <w:rFonts w:ascii="Arial" w:hAnsi="Arial" w:cs="Arial"/>
          <w:sz w:val="27"/>
          <w:szCs w:val="27"/>
        </w:rPr>
        <w:t>);</w:t>
      </w:r>
    </w:p>
    <w:p w14:paraId="6B7ABE96"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Claims and litigation (</w:t>
      </w:r>
      <w:hyperlink r:id="rId18" w:tgtFrame="_blank" w:history="1">
        <w:r w:rsidRPr="002375AE">
          <w:rPr>
            <w:rStyle w:val="Hyperlink"/>
            <w:rFonts w:ascii="Arial" w:hAnsi="Arial" w:cs="Arial"/>
            <w:sz w:val="27"/>
            <w:szCs w:val="27"/>
          </w:rPr>
          <w:t>GOB § 5-1502H</w:t>
        </w:r>
      </w:hyperlink>
      <w:r w:rsidRPr="002375AE">
        <w:rPr>
          <w:rFonts w:ascii="Arial" w:hAnsi="Arial" w:cs="Arial"/>
          <w:sz w:val="27"/>
          <w:szCs w:val="27"/>
        </w:rPr>
        <w:t>);</w:t>
      </w:r>
    </w:p>
    <w:p w14:paraId="5EEE7275"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Personal and family maintenance (</w:t>
      </w:r>
      <w:hyperlink r:id="rId19" w:tgtFrame="_blank" w:history="1">
        <w:r w:rsidRPr="002375AE">
          <w:rPr>
            <w:rStyle w:val="Hyperlink"/>
            <w:rFonts w:ascii="Arial" w:hAnsi="Arial" w:cs="Arial"/>
            <w:sz w:val="27"/>
            <w:szCs w:val="27"/>
          </w:rPr>
          <w:t>GOB § 5-1502I</w:t>
        </w:r>
      </w:hyperlink>
      <w:r w:rsidRPr="002375AE">
        <w:rPr>
          <w:rFonts w:ascii="Arial" w:hAnsi="Arial" w:cs="Arial"/>
          <w:sz w:val="27"/>
          <w:szCs w:val="27"/>
        </w:rPr>
        <w:t>);</w:t>
      </w:r>
    </w:p>
    <w:p w14:paraId="7CA9D6FB"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Benefits from governmental programs or civil or military service (</w:t>
      </w:r>
      <w:hyperlink r:id="rId20" w:tgtFrame="_blank" w:history="1">
        <w:r w:rsidRPr="002375AE">
          <w:rPr>
            <w:rStyle w:val="Hyperlink"/>
            <w:rFonts w:ascii="Arial" w:hAnsi="Arial" w:cs="Arial"/>
            <w:sz w:val="27"/>
            <w:szCs w:val="27"/>
          </w:rPr>
          <w:t>GOB § 5-1502J</w:t>
        </w:r>
      </w:hyperlink>
      <w:r w:rsidRPr="002375AE">
        <w:rPr>
          <w:rFonts w:ascii="Arial" w:hAnsi="Arial" w:cs="Arial"/>
          <w:sz w:val="27"/>
          <w:szCs w:val="27"/>
        </w:rPr>
        <w:t>);</w:t>
      </w:r>
    </w:p>
    <w:p w14:paraId="1AA94B47"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Health care billing and payment matters (</w:t>
      </w:r>
      <w:hyperlink r:id="rId21" w:tgtFrame="_blank" w:history="1">
        <w:r w:rsidRPr="002375AE">
          <w:rPr>
            <w:rStyle w:val="Hyperlink"/>
            <w:rFonts w:ascii="Arial" w:hAnsi="Arial" w:cs="Arial"/>
            <w:sz w:val="27"/>
            <w:szCs w:val="27"/>
          </w:rPr>
          <w:t>GOB § 5-1502K</w:t>
        </w:r>
      </w:hyperlink>
      <w:r w:rsidRPr="002375AE">
        <w:rPr>
          <w:rFonts w:ascii="Arial" w:hAnsi="Arial" w:cs="Arial"/>
          <w:sz w:val="27"/>
          <w:szCs w:val="27"/>
        </w:rPr>
        <w:t>);</w:t>
      </w:r>
    </w:p>
    <w:p w14:paraId="6BB9B270"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Retirement benefit transactions (</w:t>
      </w:r>
      <w:hyperlink r:id="rId22" w:tgtFrame="_blank" w:history="1">
        <w:r w:rsidRPr="002375AE">
          <w:rPr>
            <w:rStyle w:val="Hyperlink"/>
            <w:rFonts w:ascii="Arial" w:hAnsi="Arial" w:cs="Arial"/>
            <w:sz w:val="27"/>
            <w:szCs w:val="27"/>
          </w:rPr>
          <w:t>GOB § 5-1502L</w:t>
        </w:r>
      </w:hyperlink>
      <w:r w:rsidRPr="002375AE">
        <w:rPr>
          <w:rFonts w:ascii="Arial" w:hAnsi="Arial" w:cs="Arial"/>
          <w:sz w:val="27"/>
          <w:szCs w:val="27"/>
        </w:rPr>
        <w:t>);</w:t>
      </w:r>
    </w:p>
    <w:p w14:paraId="4DFF761C"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Tax matters (</w:t>
      </w:r>
      <w:hyperlink r:id="rId23" w:tgtFrame="_blank" w:history="1">
        <w:r w:rsidRPr="002375AE">
          <w:rPr>
            <w:rStyle w:val="Hyperlink"/>
            <w:rFonts w:ascii="Arial" w:hAnsi="Arial" w:cs="Arial"/>
            <w:sz w:val="27"/>
            <w:szCs w:val="27"/>
          </w:rPr>
          <w:t>GOB § 5-1502M</w:t>
        </w:r>
      </w:hyperlink>
      <w:r w:rsidRPr="002375AE">
        <w:rPr>
          <w:rFonts w:ascii="Arial" w:hAnsi="Arial" w:cs="Arial"/>
          <w:sz w:val="27"/>
          <w:szCs w:val="27"/>
        </w:rPr>
        <w:t>); and</w:t>
      </w:r>
    </w:p>
    <w:p w14:paraId="5C630116" w14:textId="77777777" w:rsidR="002375AE" w:rsidRPr="002375AE" w:rsidRDefault="002375AE" w:rsidP="002375AE">
      <w:pPr>
        <w:numPr>
          <w:ilvl w:val="0"/>
          <w:numId w:val="9"/>
        </w:numPr>
        <w:suppressAutoHyphens w:val="0"/>
        <w:autoSpaceDN/>
        <w:spacing w:before="100" w:beforeAutospacing="1" w:after="100" w:afterAutospacing="1"/>
        <w:textAlignment w:val="auto"/>
        <w:rPr>
          <w:rFonts w:ascii="Arial" w:hAnsi="Arial" w:cs="Arial"/>
          <w:sz w:val="27"/>
          <w:szCs w:val="27"/>
        </w:rPr>
      </w:pPr>
      <w:r w:rsidRPr="002375AE">
        <w:rPr>
          <w:rFonts w:ascii="Arial" w:hAnsi="Arial" w:cs="Arial"/>
          <w:sz w:val="27"/>
          <w:szCs w:val="27"/>
        </w:rPr>
        <w:t>All other matters (</w:t>
      </w:r>
      <w:hyperlink r:id="rId24" w:tgtFrame="_blank" w:history="1">
        <w:r w:rsidRPr="002375AE">
          <w:rPr>
            <w:rStyle w:val="Hyperlink"/>
            <w:rFonts w:ascii="Arial" w:hAnsi="Arial" w:cs="Arial"/>
            <w:sz w:val="27"/>
            <w:szCs w:val="27"/>
          </w:rPr>
          <w:t>GOB § 5-1502N</w:t>
        </w:r>
      </w:hyperlink>
      <w:r w:rsidRPr="002375AE">
        <w:rPr>
          <w:rFonts w:ascii="Arial" w:hAnsi="Arial" w:cs="Arial"/>
          <w:sz w:val="27"/>
          <w:szCs w:val="27"/>
        </w:rPr>
        <w:t>).</w:t>
      </w:r>
    </w:p>
    <w:p w14:paraId="6F357759" w14:textId="7DBE6B1E"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List Assets</w:t>
      </w:r>
    </w:p>
    <w:p w14:paraId="32A7CEEC" w14:textId="77777777" w:rsidR="00C4721A" w:rsidRDefault="00C4721A">
      <w:pPr>
        <w:pStyle w:val="NormalWeb"/>
        <w:rPr>
          <w:rFonts w:ascii="Arial" w:hAnsi="Arial" w:cs="Arial"/>
          <w:sz w:val="27"/>
          <w:szCs w:val="27"/>
        </w:rPr>
      </w:pPr>
    </w:p>
    <w:p w14:paraId="7130780E" w14:textId="1C82E99B" w:rsidR="00FF2F8B" w:rsidRDefault="002375AE">
      <w:pPr>
        <w:pStyle w:val="NormalWeb"/>
      </w:pPr>
      <w:r>
        <w:rPr>
          <w:rFonts w:ascii="Arial" w:hAnsi="Arial" w:cs="Arial"/>
          <w:sz w:val="27"/>
          <w:szCs w:val="27"/>
        </w:rPr>
        <w:t xml:space="preserve">To make sure that all assets have been covered in one or more estate planning document, the principal should make a list of all property, assets, debts, and liabilities so that nothing gets left out. A </w:t>
      </w:r>
      <w:hyperlink r:id="rId25" w:history="1">
        <w:r w:rsidRPr="002375AE">
          <w:rPr>
            <w:rStyle w:val="Hyperlink"/>
            <w:rFonts w:ascii="Arial" w:hAnsi="Arial" w:cs="Arial"/>
            <w:sz w:val="27"/>
            <w:szCs w:val="27"/>
          </w:rPr>
          <w:t>Current Assets List</w:t>
        </w:r>
      </w:hyperlink>
      <w:r>
        <w:rPr>
          <w:rFonts w:ascii="Arial" w:hAnsi="Arial" w:cs="Arial"/>
          <w:sz w:val="27"/>
          <w:szCs w:val="27"/>
        </w:rPr>
        <w:t xml:space="preserve"> can be a helpful organization tool for this task. </w:t>
      </w:r>
    </w:p>
    <w:p w14:paraId="7C37CE22" w14:textId="77777777" w:rsidR="00C4721A" w:rsidRDefault="00C4721A">
      <w:pPr>
        <w:pStyle w:val="Heading3"/>
        <w:rPr>
          <w:rStyle w:val="Strong"/>
          <w:rFonts w:ascii="Arial" w:hAnsi="Arial" w:cs="Arial"/>
          <w:b/>
          <w:bCs/>
          <w:sz w:val="32"/>
          <w:szCs w:val="32"/>
        </w:rPr>
      </w:pPr>
    </w:p>
    <w:p w14:paraId="6B7AB27C" w14:textId="1B919072" w:rsidR="00FF2F8B" w:rsidRDefault="00A9662C">
      <w:pPr>
        <w:pStyle w:val="Heading3"/>
      </w:pPr>
      <w:r>
        <w:rPr>
          <w:rStyle w:val="Strong"/>
          <w:rFonts w:ascii="Arial" w:hAnsi="Arial" w:cs="Arial"/>
          <w:b/>
          <w:bCs/>
          <w:sz w:val="32"/>
          <w:szCs w:val="32"/>
        </w:rPr>
        <w:lastRenderedPageBreak/>
        <w:t>Step 4 -</w:t>
      </w:r>
      <w:r w:rsidR="00012B11">
        <w:rPr>
          <w:rStyle w:val="Strong"/>
          <w:rFonts w:ascii="Arial" w:hAnsi="Arial" w:cs="Arial"/>
          <w:b/>
          <w:bCs/>
          <w:sz w:val="32"/>
          <w:szCs w:val="32"/>
        </w:rPr>
        <w:t xml:space="preserve"> </w:t>
      </w:r>
      <w:r w:rsidR="002375AE">
        <w:rPr>
          <w:rStyle w:val="Strong"/>
          <w:rFonts w:ascii="Arial" w:hAnsi="Arial" w:cs="Arial"/>
          <w:b/>
          <w:bCs/>
          <w:sz w:val="32"/>
          <w:szCs w:val="32"/>
        </w:rPr>
        <w:t>Beneficiaries</w:t>
      </w:r>
    </w:p>
    <w:p w14:paraId="0EE35B79" w14:textId="77777777" w:rsidR="00C4721A" w:rsidRDefault="00C4721A">
      <w:pPr>
        <w:pStyle w:val="NormalWeb"/>
        <w:rPr>
          <w:rFonts w:ascii="Arial" w:hAnsi="Arial" w:cs="Arial"/>
          <w:sz w:val="27"/>
          <w:szCs w:val="27"/>
        </w:rPr>
      </w:pPr>
    </w:p>
    <w:p w14:paraId="5D1E338F" w14:textId="165F61EC" w:rsidR="00FF2F8B" w:rsidRPr="00012B11" w:rsidRDefault="002375AE">
      <w:pPr>
        <w:pStyle w:val="NormalWeb"/>
        <w:rPr>
          <w:rFonts w:ascii="Arial" w:hAnsi="Arial" w:cs="Arial"/>
          <w:sz w:val="27"/>
          <w:szCs w:val="27"/>
          <w:lang w:val="en-CA"/>
        </w:rPr>
      </w:pPr>
      <w:r>
        <w:rPr>
          <w:rFonts w:ascii="Arial" w:hAnsi="Arial" w:cs="Arial"/>
          <w:sz w:val="27"/>
          <w:szCs w:val="27"/>
        </w:rPr>
        <w:t>“</w:t>
      </w:r>
      <w:r w:rsidRPr="002375AE">
        <w:rPr>
          <w:rFonts w:ascii="Arial" w:hAnsi="Arial" w:cs="Arial"/>
          <w:b/>
          <w:sz w:val="27"/>
          <w:szCs w:val="27"/>
        </w:rPr>
        <w:t>Beneficiary</w:t>
      </w:r>
      <w:r>
        <w:rPr>
          <w:rFonts w:ascii="Arial" w:hAnsi="Arial" w:cs="Arial"/>
          <w:sz w:val="27"/>
          <w:szCs w:val="27"/>
        </w:rPr>
        <w:t xml:space="preserve">” is another word for an heir, a person (or entity) who will inherit all or a part of the principal’s estate after they die. Each beneficiary will be named in an estate planning document (covered in Step 5) with the corresponding assets/portion of the estate they will receive written beside their name. The principal may want to inform each beneficiary of their role in the estate plan. </w:t>
      </w:r>
    </w:p>
    <w:p w14:paraId="7BCDC365" w14:textId="77777777" w:rsidR="00C4721A" w:rsidRDefault="00C4721A">
      <w:pPr>
        <w:pStyle w:val="Heading3"/>
        <w:rPr>
          <w:rStyle w:val="Strong"/>
          <w:rFonts w:ascii="Arial" w:hAnsi="Arial" w:cs="Arial"/>
          <w:b/>
          <w:bCs/>
          <w:sz w:val="32"/>
          <w:szCs w:val="32"/>
        </w:rPr>
      </w:pPr>
    </w:p>
    <w:p w14:paraId="6AACE02B" w14:textId="76B3BE90" w:rsidR="00FF2F8B" w:rsidRDefault="00A9662C">
      <w:pPr>
        <w:pStyle w:val="Heading3"/>
      </w:pPr>
      <w:r>
        <w:rPr>
          <w:rStyle w:val="Strong"/>
          <w:rFonts w:ascii="Arial" w:hAnsi="Arial" w:cs="Arial"/>
          <w:b/>
          <w:bCs/>
          <w:sz w:val="32"/>
          <w:szCs w:val="32"/>
        </w:rPr>
        <w:t xml:space="preserve">Step 5 - </w:t>
      </w:r>
      <w:r w:rsidR="002375AE">
        <w:rPr>
          <w:rStyle w:val="Strong"/>
          <w:rFonts w:ascii="Arial" w:hAnsi="Arial" w:cs="Arial"/>
          <w:b/>
          <w:bCs/>
          <w:sz w:val="32"/>
          <w:szCs w:val="32"/>
        </w:rPr>
        <w:t>W</w:t>
      </w:r>
      <w:r w:rsidR="00E03F02">
        <w:rPr>
          <w:rStyle w:val="Strong"/>
          <w:rFonts w:ascii="Arial" w:hAnsi="Arial" w:cs="Arial"/>
          <w:b/>
          <w:bCs/>
          <w:sz w:val="32"/>
          <w:szCs w:val="32"/>
        </w:rPr>
        <w:t>ill</w:t>
      </w:r>
      <w:r w:rsidR="002375AE">
        <w:rPr>
          <w:rStyle w:val="Strong"/>
          <w:rFonts w:ascii="Arial" w:hAnsi="Arial" w:cs="Arial"/>
          <w:b/>
          <w:bCs/>
          <w:sz w:val="32"/>
          <w:szCs w:val="32"/>
        </w:rPr>
        <w:t>s</w:t>
      </w:r>
      <w:r w:rsidR="00E03F02">
        <w:rPr>
          <w:rStyle w:val="Strong"/>
          <w:rFonts w:ascii="Arial" w:hAnsi="Arial" w:cs="Arial"/>
          <w:b/>
          <w:bCs/>
          <w:sz w:val="32"/>
          <w:szCs w:val="32"/>
        </w:rPr>
        <w:t xml:space="preserve"> and Trust</w:t>
      </w:r>
      <w:r w:rsidR="002375AE">
        <w:rPr>
          <w:rStyle w:val="Strong"/>
          <w:rFonts w:ascii="Arial" w:hAnsi="Arial" w:cs="Arial"/>
          <w:b/>
          <w:bCs/>
          <w:sz w:val="32"/>
          <w:szCs w:val="32"/>
        </w:rPr>
        <w:t>s</w:t>
      </w:r>
    </w:p>
    <w:p w14:paraId="399A1327" w14:textId="2963E391" w:rsidR="00C4721A" w:rsidRDefault="00C4721A" w:rsidP="00BA7A60">
      <w:pPr>
        <w:pStyle w:val="NormalWeb"/>
        <w:rPr>
          <w:rFonts w:ascii="Arial" w:hAnsi="Arial" w:cs="Arial"/>
          <w:sz w:val="27"/>
          <w:szCs w:val="27"/>
        </w:rPr>
      </w:pPr>
    </w:p>
    <w:p w14:paraId="629606C2" w14:textId="5D7D3A2C" w:rsidR="00E11A9C" w:rsidRDefault="002375AE" w:rsidP="002375AE">
      <w:pPr>
        <w:pStyle w:val="NormalWeb"/>
        <w:rPr>
          <w:rFonts w:ascii="Arial" w:hAnsi="Arial" w:cs="Arial"/>
          <w:sz w:val="27"/>
          <w:szCs w:val="27"/>
        </w:rPr>
      </w:pPr>
      <w:r>
        <w:rPr>
          <w:rFonts w:ascii="Arial" w:hAnsi="Arial" w:cs="Arial"/>
          <w:sz w:val="27"/>
          <w:szCs w:val="27"/>
        </w:rPr>
        <w:t xml:space="preserve">Each estate planning document mentioned below provides different benefits for the principal. Regardless of whether one or </w:t>
      </w:r>
      <w:proofErr w:type="gramStart"/>
      <w:r>
        <w:rPr>
          <w:rFonts w:ascii="Arial" w:hAnsi="Arial" w:cs="Arial"/>
          <w:sz w:val="27"/>
          <w:szCs w:val="27"/>
        </w:rPr>
        <w:t>both of these</w:t>
      </w:r>
      <w:proofErr w:type="gramEnd"/>
      <w:r>
        <w:rPr>
          <w:rFonts w:ascii="Arial" w:hAnsi="Arial" w:cs="Arial"/>
          <w:sz w:val="27"/>
          <w:szCs w:val="27"/>
        </w:rPr>
        <w:t xml:space="preserve"> tools are used, the principal may want to confer with an attorney to make sure that no part of the estate has been left out. Leaving property or assets out of an estate plan will cause complications when the times comes for the estate to be distributed after the principal’s death. </w:t>
      </w:r>
    </w:p>
    <w:p w14:paraId="282D9715" w14:textId="1B163307" w:rsidR="002375AE" w:rsidRDefault="001E5FC8" w:rsidP="002375AE">
      <w:pPr>
        <w:pStyle w:val="NormalWeb"/>
        <w:rPr>
          <w:rFonts w:ascii="Arial" w:hAnsi="Arial" w:cs="Arial"/>
          <w:sz w:val="27"/>
          <w:szCs w:val="27"/>
          <w:lang w:val="en-CA"/>
        </w:rPr>
      </w:pPr>
      <w:hyperlink r:id="rId26" w:history="1">
        <w:r w:rsidR="002375AE" w:rsidRPr="004D327F">
          <w:rPr>
            <w:rStyle w:val="Hyperlink"/>
            <w:rFonts w:ascii="Arial" w:hAnsi="Arial" w:cs="Arial"/>
            <w:sz w:val="27"/>
            <w:szCs w:val="27"/>
            <w:lang w:val="en-CA"/>
          </w:rPr>
          <w:t>Last Will and Testament</w:t>
        </w:r>
      </w:hyperlink>
      <w:r w:rsidR="002375AE">
        <w:rPr>
          <w:rFonts w:ascii="Arial" w:hAnsi="Arial" w:cs="Arial"/>
          <w:sz w:val="27"/>
          <w:szCs w:val="27"/>
          <w:lang w:val="en-CA"/>
        </w:rPr>
        <w:t xml:space="preserve"> – A document executed by the principal (testator) with the intent of conveying clear instructions regarding the distribution of their estate after death. This document appoints an executor to handle the distribution of assets to the named beneficiaries, but this authority only comes into effect after the testator dies. A Will may cover provisions such as guardianship for their children, an agent for their children’s inherited assets, and taxes and debt management. Before any of the testator’s instructions can be implemented, the Will must be reviewed in probate court. </w:t>
      </w:r>
    </w:p>
    <w:p w14:paraId="38B39568" w14:textId="3156D74A" w:rsidR="002375AE" w:rsidRDefault="002375AE" w:rsidP="004D327F">
      <w:pPr>
        <w:pStyle w:val="NormalWeb"/>
        <w:numPr>
          <w:ilvl w:val="0"/>
          <w:numId w:val="6"/>
        </w:numPr>
        <w:rPr>
          <w:rFonts w:ascii="Arial" w:hAnsi="Arial" w:cs="Arial"/>
          <w:sz w:val="27"/>
          <w:szCs w:val="27"/>
          <w:lang w:val="en-CA"/>
        </w:rPr>
      </w:pPr>
      <w:r w:rsidRPr="004D327F">
        <w:rPr>
          <w:rFonts w:ascii="Arial" w:hAnsi="Arial" w:cs="Arial"/>
          <w:b/>
          <w:sz w:val="27"/>
          <w:szCs w:val="27"/>
          <w:lang w:val="en-CA"/>
        </w:rPr>
        <w:t>Signing</w:t>
      </w:r>
      <w:r>
        <w:rPr>
          <w:rFonts w:ascii="Arial" w:hAnsi="Arial" w:cs="Arial"/>
          <w:sz w:val="27"/>
          <w:szCs w:val="27"/>
          <w:lang w:val="en-CA"/>
        </w:rPr>
        <w:t xml:space="preserve"> </w:t>
      </w:r>
      <w:r w:rsidRPr="004D327F">
        <w:rPr>
          <w:rFonts w:ascii="Arial" w:hAnsi="Arial" w:cs="Arial"/>
          <w:b/>
          <w:sz w:val="27"/>
          <w:szCs w:val="27"/>
          <w:lang w:val="en-CA"/>
        </w:rPr>
        <w:t>Requirements</w:t>
      </w:r>
      <w:r>
        <w:rPr>
          <w:rFonts w:ascii="Arial" w:hAnsi="Arial" w:cs="Arial"/>
          <w:sz w:val="27"/>
          <w:szCs w:val="27"/>
          <w:lang w:val="en-CA"/>
        </w:rPr>
        <w:t xml:space="preserve"> (</w:t>
      </w:r>
      <w:hyperlink r:id="rId27" w:history="1">
        <w:r w:rsidRPr="004D327F">
          <w:rPr>
            <w:rStyle w:val="Hyperlink"/>
            <w:rFonts w:ascii="Arial" w:hAnsi="Arial" w:cs="Arial"/>
            <w:sz w:val="27"/>
            <w:szCs w:val="27"/>
            <w:lang w:val="en-CA"/>
          </w:rPr>
          <w:t>EPT § 3-2.1</w:t>
        </w:r>
      </w:hyperlink>
      <w:r>
        <w:rPr>
          <w:rFonts w:ascii="Arial" w:hAnsi="Arial" w:cs="Arial"/>
          <w:sz w:val="27"/>
          <w:szCs w:val="27"/>
          <w:lang w:val="en-CA"/>
        </w:rPr>
        <w:t xml:space="preserve">) – The testator and two (2) witnesses. </w:t>
      </w:r>
    </w:p>
    <w:p w14:paraId="6D3AE07C" w14:textId="3D13C118" w:rsidR="004D327F" w:rsidRDefault="001E5FC8" w:rsidP="002375AE">
      <w:pPr>
        <w:pStyle w:val="NormalWeb"/>
        <w:rPr>
          <w:rFonts w:ascii="Arial" w:hAnsi="Arial" w:cs="Arial"/>
          <w:sz w:val="27"/>
          <w:szCs w:val="27"/>
          <w:lang w:val="en-CA"/>
        </w:rPr>
      </w:pPr>
      <w:hyperlink r:id="rId28" w:history="1">
        <w:r w:rsidR="002375AE" w:rsidRPr="004D327F">
          <w:rPr>
            <w:rStyle w:val="Hyperlink"/>
            <w:rFonts w:ascii="Arial" w:hAnsi="Arial" w:cs="Arial"/>
            <w:sz w:val="27"/>
            <w:szCs w:val="27"/>
            <w:lang w:val="en-CA"/>
          </w:rPr>
          <w:t>Revocable Living Trust</w:t>
        </w:r>
      </w:hyperlink>
      <w:r w:rsidR="002375AE">
        <w:rPr>
          <w:rFonts w:ascii="Arial" w:hAnsi="Arial" w:cs="Arial"/>
          <w:sz w:val="27"/>
          <w:szCs w:val="27"/>
          <w:lang w:val="en-CA"/>
        </w:rPr>
        <w:t xml:space="preserve"> – Once a Living Trust document is executed, it becomes an entity into which assets and property can be placed. A Revocable Living Trust can be amended, altered or revoked at any point during the grantor’s (principal) lifetime. A trustee is appointed to manage the Trust; typically</w:t>
      </w:r>
      <w:r w:rsidR="004D327F">
        <w:rPr>
          <w:rFonts w:ascii="Arial" w:hAnsi="Arial" w:cs="Arial"/>
          <w:sz w:val="27"/>
          <w:szCs w:val="27"/>
          <w:lang w:val="en-CA"/>
        </w:rPr>
        <w:t>,</w:t>
      </w:r>
      <w:r w:rsidR="002375AE">
        <w:rPr>
          <w:rFonts w:ascii="Arial" w:hAnsi="Arial" w:cs="Arial"/>
          <w:sz w:val="27"/>
          <w:szCs w:val="27"/>
          <w:lang w:val="en-CA"/>
        </w:rPr>
        <w:t xml:space="preserve"> the grantor appoints themselves trustee. A successor trustee is appointed to manage the Trust after the grantor’s death. Beneficiaries included in the Trust </w:t>
      </w:r>
      <w:r w:rsidR="004D327F">
        <w:rPr>
          <w:rFonts w:ascii="Arial" w:hAnsi="Arial" w:cs="Arial"/>
          <w:sz w:val="27"/>
          <w:szCs w:val="27"/>
          <w:lang w:val="en-CA"/>
        </w:rPr>
        <w:t xml:space="preserve">will receive the property or assets once the grantor dies, in accordance with the terms of the Trust. The main difference between a Revocable Living Trust and a Will is that the former does not have to go through probate court after the grantor’s death, nor does it become public record. A Trust also continues to benefit the grantor during their lifetime, </w:t>
      </w:r>
      <w:r w:rsidR="004D327F">
        <w:rPr>
          <w:rFonts w:ascii="Arial" w:hAnsi="Arial" w:cs="Arial"/>
          <w:sz w:val="27"/>
          <w:szCs w:val="27"/>
          <w:lang w:val="en-CA"/>
        </w:rPr>
        <w:lastRenderedPageBreak/>
        <w:t xml:space="preserve">protecting their assets and property, whereas a Will is not enforced until the principal’s death. </w:t>
      </w:r>
    </w:p>
    <w:p w14:paraId="3F8075A0" w14:textId="00B884A3" w:rsidR="004D327F" w:rsidRPr="004D327F" w:rsidRDefault="004D327F" w:rsidP="004D327F">
      <w:pPr>
        <w:pStyle w:val="NormalWeb"/>
        <w:numPr>
          <w:ilvl w:val="0"/>
          <w:numId w:val="6"/>
        </w:numPr>
        <w:rPr>
          <w:rFonts w:ascii="Arial" w:hAnsi="Arial" w:cs="Arial"/>
          <w:sz w:val="27"/>
          <w:szCs w:val="27"/>
          <w:lang w:val="en-CA"/>
        </w:rPr>
      </w:pPr>
      <w:r w:rsidRPr="004D327F">
        <w:rPr>
          <w:rFonts w:ascii="Arial" w:hAnsi="Arial" w:cs="Arial"/>
          <w:b/>
          <w:sz w:val="27"/>
          <w:szCs w:val="27"/>
          <w:lang w:val="en-CA"/>
        </w:rPr>
        <w:t>Signing</w:t>
      </w:r>
      <w:r>
        <w:rPr>
          <w:rFonts w:ascii="Arial" w:hAnsi="Arial" w:cs="Arial"/>
          <w:sz w:val="27"/>
          <w:szCs w:val="27"/>
          <w:lang w:val="en-CA"/>
        </w:rPr>
        <w:t xml:space="preserve"> </w:t>
      </w:r>
      <w:r w:rsidRPr="004D327F">
        <w:rPr>
          <w:rFonts w:ascii="Arial" w:hAnsi="Arial" w:cs="Arial"/>
          <w:b/>
          <w:sz w:val="27"/>
          <w:szCs w:val="27"/>
          <w:lang w:val="en-CA"/>
        </w:rPr>
        <w:t>Requirements</w:t>
      </w:r>
      <w:r>
        <w:rPr>
          <w:rFonts w:ascii="Arial" w:hAnsi="Arial" w:cs="Arial"/>
          <w:sz w:val="27"/>
          <w:szCs w:val="27"/>
          <w:lang w:val="en-CA"/>
        </w:rPr>
        <w:t xml:space="preserve"> (</w:t>
      </w:r>
      <w:hyperlink r:id="rId29" w:history="1">
        <w:r w:rsidRPr="004D327F">
          <w:rPr>
            <w:rStyle w:val="Hyperlink"/>
            <w:rFonts w:ascii="Arial" w:hAnsi="Arial" w:cs="Arial"/>
            <w:sz w:val="27"/>
            <w:szCs w:val="27"/>
            <w:lang w:val="en-CA"/>
          </w:rPr>
          <w:t>EPT § 7-1.17</w:t>
        </w:r>
      </w:hyperlink>
      <w:r>
        <w:rPr>
          <w:rFonts w:ascii="Arial" w:hAnsi="Arial" w:cs="Arial"/>
          <w:sz w:val="27"/>
          <w:szCs w:val="27"/>
          <w:lang w:val="en-CA"/>
        </w:rPr>
        <w:t xml:space="preserve">) – The grantor and either two (2) witnesses OR in the manner required by the laws pertaining to the recording of a conveyance of real property; i.e., a justice of the supreme court, and official examiner of title, an official referee, or a notary public. </w:t>
      </w:r>
    </w:p>
    <w:p w14:paraId="5C46EA4A" w14:textId="77777777" w:rsidR="00C4721A" w:rsidRDefault="00C4721A">
      <w:pPr>
        <w:pStyle w:val="Heading3"/>
        <w:rPr>
          <w:rStyle w:val="Strong"/>
          <w:rFonts w:ascii="Arial" w:hAnsi="Arial" w:cs="Arial"/>
          <w:b/>
          <w:bCs/>
          <w:sz w:val="32"/>
          <w:szCs w:val="32"/>
        </w:rPr>
      </w:pPr>
    </w:p>
    <w:p w14:paraId="1E2D364A" w14:textId="6610956E" w:rsidR="00FF2F8B" w:rsidRDefault="00A9662C">
      <w:pPr>
        <w:pStyle w:val="Heading3"/>
      </w:pPr>
      <w:r>
        <w:rPr>
          <w:rStyle w:val="Strong"/>
          <w:rFonts w:ascii="Arial" w:hAnsi="Arial" w:cs="Arial"/>
          <w:b/>
          <w:bCs/>
          <w:sz w:val="32"/>
          <w:szCs w:val="32"/>
        </w:rPr>
        <w:t xml:space="preserve">Step 6 - </w:t>
      </w:r>
      <w:r w:rsidR="006F2CBC">
        <w:rPr>
          <w:rStyle w:val="Strong"/>
          <w:rFonts w:ascii="Arial" w:hAnsi="Arial" w:cs="Arial"/>
          <w:b/>
          <w:bCs/>
          <w:sz w:val="32"/>
          <w:szCs w:val="32"/>
        </w:rPr>
        <w:t>Safely Store</w:t>
      </w:r>
      <w:r>
        <w:rPr>
          <w:rStyle w:val="Strong"/>
          <w:rFonts w:ascii="Arial" w:hAnsi="Arial" w:cs="Arial"/>
          <w:b/>
          <w:bCs/>
          <w:sz w:val="32"/>
          <w:szCs w:val="32"/>
        </w:rPr>
        <w:t xml:space="preserve"> Documents</w:t>
      </w:r>
    </w:p>
    <w:p w14:paraId="64ED54BF" w14:textId="77777777" w:rsidR="00C4721A" w:rsidRDefault="00C4721A">
      <w:pPr>
        <w:pStyle w:val="NormalWeb"/>
        <w:rPr>
          <w:rFonts w:ascii="Arial" w:hAnsi="Arial" w:cs="Arial"/>
          <w:sz w:val="27"/>
          <w:szCs w:val="27"/>
        </w:rPr>
      </w:pPr>
    </w:p>
    <w:p w14:paraId="591AEBF1" w14:textId="0B5F7F6F" w:rsidR="00FF2F8B" w:rsidRDefault="004D327F">
      <w:pPr>
        <w:pStyle w:val="NormalWeb"/>
        <w:rPr>
          <w:rFonts w:ascii="Arial" w:hAnsi="Arial" w:cs="Arial"/>
          <w:sz w:val="27"/>
          <w:szCs w:val="27"/>
        </w:rPr>
      </w:pPr>
      <w:r>
        <w:rPr>
          <w:rFonts w:ascii="Arial" w:hAnsi="Arial" w:cs="Arial"/>
          <w:sz w:val="27"/>
          <w:szCs w:val="27"/>
        </w:rPr>
        <w:t xml:space="preserve">After all documents have been property executed, the principal should retain copies for safekeeping, as well as provide copies to their attorney, agent or other representative(s). These documents should be stored in a fire and waterproof safe or cabinet. The principal would be wise to provide the key or combination/access code to their spouse or trusted </w:t>
      </w:r>
      <w:proofErr w:type="gramStart"/>
      <w:r>
        <w:rPr>
          <w:rFonts w:ascii="Arial" w:hAnsi="Arial" w:cs="Arial"/>
          <w:sz w:val="27"/>
          <w:szCs w:val="27"/>
        </w:rPr>
        <w:t>representative</w:t>
      </w:r>
      <w:proofErr w:type="gramEnd"/>
      <w:r>
        <w:rPr>
          <w:rFonts w:ascii="Arial" w:hAnsi="Arial" w:cs="Arial"/>
          <w:sz w:val="27"/>
          <w:szCs w:val="27"/>
        </w:rPr>
        <w:t xml:space="preserve"> so they can locate the documents should anything happen to the principal. </w:t>
      </w:r>
    </w:p>
    <w:p w14:paraId="78DA7389" w14:textId="77777777" w:rsidR="00FF2F8B" w:rsidRDefault="00FF2F8B">
      <w:pPr>
        <w:rPr>
          <w:rFonts w:ascii="Arial" w:hAnsi="Arial" w:cs="Arial"/>
          <w:sz w:val="27"/>
          <w:szCs w:val="27"/>
        </w:rPr>
      </w:pPr>
    </w:p>
    <w:sectPr w:rsidR="00FF2F8B">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2533" w14:textId="77777777" w:rsidR="00FC1E74" w:rsidRDefault="00FC1E74">
      <w:r>
        <w:separator/>
      </w:r>
    </w:p>
  </w:endnote>
  <w:endnote w:type="continuationSeparator" w:id="0">
    <w:p w14:paraId="21977FA0" w14:textId="77777777" w:rsidR="00FC1E74" w:rsidRDefault="00F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3E31" w14:textId="77777777" w:rsidR="00FC1E74" w:rsidRDefault="00FC1E74">
      <w:r>
        <w:rPr>
          <w:color w:val="000000"/>
        </w:rPr>
        <w:separator/>
      </w:r>
    </w:p>
  </w:footnote>
  <w:footnote w:type="continuationSeparator" w:id="0">
    <w:p w14:paraId="6255152F" w14:textId="77777777" w:rsidR="00FC1E74" w:rsidRDefault="00FC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73C6D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45405E7"/>
    <w:multiLevelType w:val="multilevel"/>
    <w:tmpl w:val="28A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1F8087B"/>
    <w:multiLevelType w:val="multilevel"/>
    <w:tmpl w:val="12C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B5F38"/>
    <w:rsid w:val="000B73BE"/>
    <w:rsid w:val="00176C9F"/>
    <w:rsid w:val="00195F2D"/>
    <w:rsid w:val="001A2ADD"/>
    <w:rsid w:val="001B160D"/>
    <w:rsid w:val="001E5FC8"/>
    <w:rsid w:val="0020233B"/>
    <w:rsid w:val="0023237E"/>
    <w:rsid w:val="002375AE"/>
    <w:rsid w:val="00252406"/>
    <w:rsid w:val="00257375"/>
    <w:rsid w:val="00305370"/>
    <w:rsid w:val="00407C06"/>
    <w:rsid w:val="004457BE"/>
    <w:rsid w:val="004976B9"/>
    <w:rsid w:val="004D327F"/>
    <w:rsid w:val="00523DD3"/>
    <w:rsid w:val="00542C37"/>
    <w:rsid w:val="005647E9"/>
    <w:rsid w:val="005739F0"/>
    <w:rsid w:val="005C527D"/>
    <w:rsid w:val="006A7801"/>
    <w:rsid w:val="006F2CBC"/>
    <w:rsid w:val="006F580A"/>
    <w:rsid w:val="007B4523"/>
    <w:rsid w:val="007F56A7"/>
    <w:rsid w:val="00823C44"/>
    <w:rsid w:val="00836D17"/>
    <w:rsid w:val="008A08BE"/>
    <w:rsid w:val="008A56A8"/>
    <w:rsid w:val="008E08D9"/>
    <w:rsid w:val="0091662A"/>
    <w:rsid w:val="00944F7B"/>
    <w:rsid w:val="009C4597"/>
    <w:rsid w:val="00A9662C"/>
    <w:rsid w:val="00B921A0"/>
    <w:rsid w:val="00B97C39"/>
    <w:rsid w:val="00BA7A60"/>
    <w:rsid w:val="00C4721A"/>
    <w:rsid w:val="00C93CCF"/>
    <w:rsid w:val="00DF0D79"/>
    <w:rsid w:val="00E03F02"/>
    <w:rsid w:val="00E05495"/>
    <w:rsid w:val="00E11A9C"/>
    <w:rsid w:val="00E160DE"/>
    <w:rsid w:val="00E44E5B"/>
    <w:rsid w:val="00E64CB8"/>
    <w:rsid w:val="00F32318"/>
    <w:rsid w:val="00F4652D"/>
    <w:rsid w:val="00FC1E74"/>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543323969">
      <w:bodyDiv w:val="1"/>
      <w:marLeft w:val="0"/>
      <w:marRight w:val="0"/>
      <w:marTop w:val="0"/>
      <w:marBottom w:val="0"/>
      <w:divBdr>
        <w:top w:val="none" w:sz="0" w:space="0" w:color="auto"/>
        <w:left w:val="none" w:sz="0" w:space="0" w:color="auto"/>
        <w:bottom w:val="none" w:sz="0" w:space="0" w:color="auto"/>
        <w:right w:val="none" w:sz="0" w:space="0" w:color="auto"/>
      </w:divBdr>
    </w:div>
    <w:div w:id="155172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new-york/2017/pbh/article-29-c/2981/" TargetMode="External"/><Relationship Id="rId13" Type="http://schemas.openxmlformats.org/officeDocument/2006/relationships/hyperlink" Target="https://law.justia.com/codes/new-york/2017/gob/article-5/title-15/5-1502c/index.html" TargetMode="External"/><Relationship Id="rId18" Type="http://schemas.openxmlformats.org/officeDocument/2006/relationships/hyperlink" Target="https://law.justia.com/codes/new-york/2017/gob/article-5/title-15/5-1502h/index.html" TargetMode="External"/><Relationship Id="rId26" Type="http://schemas.openxmlformats.org/officeDocument/2006/relationships/hyperlink" Target="https://eforms.com/wills/new-york-last-will-and-testament-template/" TargetMode="External"/><Relationship Id="rId3" Type="http://schemas.openxmlformats.org/officeDocument/2006/relationships/settings" Target="settings.xml"/><Relationship Id="rId21" Type="http://schemas.openxmlformats.org/officeDocument/2006/relationships/hyperlink" Target="https://law.justia.com/codes/new-york/2017/gob/article-5/title-15/5-1502k/index.html" TargetMode="External"/><Relationship Id="rId7" Type="http://schemas.openxmlformats.org/officeDocument/2006/relationships/hyperlink" Target="https://eforms.com/power-of-attorney/ny/new-york-health-care-proxy/" TargetMode="External"/><Relationship Id="rId12" Type="http://schemas.openxmlformats.org/officeDocument/2006/relationships/hyperlink" Target="https://law.justia.com/codes/new-york/2017/gob/article-5/title-15/5-1502b/index.html" TargetMode="External"/><Relationship Id="rId17" Type="http://schemas.openxmlformats.org/officeDocument/2006/relationships/hyperlink" Target="https://law.justia.com/codes/new-york/2017/gob/article-5/title-15/5-1502g/index.html" TargetMode="External"/><Relationship Id="rId25" Type="http://schemas.openxmlformats.org/officeDocument/2006/relationships/hyperlink" Target="https://eforms.com/estate-planning/current-assets-list/" TargetMode="External"/><Relationship Id="rId2" Type="http://schemas.openxmlformats.org/officeDocument/2006/relationships/styles" Target="styles.xml"/><Relationship Id="rId16" Type="http://schemas.openxmlformats.org/officeDocument/2006/relationships/hyperlink" Target="https://law.justia.com/codes/new-york/2017/gob/article-5/title-15/5-1502f/index.html" TargetMode="External"/><Relationship Id="rId20" Type="http://schemas.openxmlformats.org/officeDocument/2006/relationships/hyperlink" Target="https://law.justia.com/codes/new-york/2017/gob/article-5/title-15/5-1502j/index.html" TargetMode="External"/><Relationship Id="rId29" Type="http://schemas.openxmlformats.org/officeDocument/2006/relationships/hyperlink" Target="https://law.justia.com/codes/new-york/2017/ept/article-7/part-1/7-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york/2017/gob/article-5/title-15/5-1502a/index.html" TargetMode="External"/><Relationship Id="rId24" Type="http://schemas.openxmlformats.org/officeDocument/2006/relationships/hyperlink" Target="https://law.justia.com/codes/new-york/2017/gob/article-5/title-15/5-1502n/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w.justia.com/codes/new-york/2017/gob/article-5/title-15/5-1502e/index.html" TargetMode="External"/><Relationship Id="rId23" Type="http://schemas.openxmlformats.org/officeDocument/2006/relationships/hyperlink" Target="https://law.justia.com/codes/new-york/2017/gob/article-5/title-15/5-1502m/index.html" TargetMode="External"/><Relationship Id="rId28" Type="http://schemas.openxmlformats.org/officeDocument/2006/relationships/hyperlink" Target="https://eforms.com/living-trust/ny/new-york-revocable-living-trust-form/" TargetMode="External"/><Relationship Id="rId10" Type="http://schemas.openxmlformats.org/officeDocument/2006/relationships/hyperlink" Target="https://law.justia.com/codes/new-york/2017/gob/article-5/title-15/5-1501b/" TargetMode="External"/><Relationship Id="rId19" Type="http://schemas.openxmlformats.org/officeDocument/2006/relationships/hyperlink" Target="https://law.justia.com/codes/new-york/2017/gob/article-5/title-15/5-1502i/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forms.com/power-of-attorney/ny/new-york-durable-power-of-attorney/" TargetMode="External"/><Relationship Id="rId14" Type="http://schemas.openxmlformats.org/officeDocument/2006/relationships/hyperlink" Target="https://law.justia.com/codes/new-york/2017/gob/article-5/title-15/5-1502d/index.html" TargetMode="External"/><Relationship Id="rId22" Type="http://schemas.openxmlformats.org/officeDocument/2006/relationships/hyperlink" Target="https://law.justia.com/codes/new-york/2017/gob/article-5/title-15/5-1502l/index.html" TargetMode="External"/><Relationship Id="rId27" Type="http://schemas.openxmlformats.org/officeDocument/2006/relationships/hyperlink" Target="https://law.justia.com/codes/new-york/2017/ept/article-3/part-2/3-2.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4</cp:revision>
  <dcterms:created xsi:type="dcterms:W3CDTF">2019-01-05T19:03:00Z</dcterms:created>
  <dcterms:modified xsi:type="dcterms:W3CDTF">2019-01-06T19:48:00Z</dcterms:modified>
</cp:coreProperties>
</file>