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7F576B08" w:rsidR="00FF2F8B" w:rsidRDefault="005C527D">
      <w:pPr>
        <w:pStyle w:val="Heading1"/>
        <w:jc w:val="center"/>
        <w:rPr>
          <w:rFonts w:ascii="Arial" w:hAnsi="Arial" w:cs="Arial"/>
          <w:sz w:val="36"/>
          <w:szCs w:val="36"/>
        </w:rPr>
      </w:pPr>
      <w:r>
        <w:rPr>
          <w:rFonts w:ascii="Arial" w:hAnsi="Arial" w:cs="Arial"/>
          <w:sz w:val="36"/>
          <w:szCs w:val="36"/>
        </w:rPr>
        <w:t>N</w:t>
      </w:r>
      <w:r w:rsidR="00A6386F">
        <w:rPr>
          <w:rFonts w:ascii="Arial" w:hAnsi="Arial" w:cs="Arial"/>
          <w:sz w:val="36"/>
          <w:szCs w:val="36"/>
        </w:rPr>
        <w:t xml:space="preserve">ORTH CAROLINA </w:t>
      </w:r>
      <w:r w:rsidR="00A9662C">
        <w:rPr>
          <w:rFonts w:ascii="Arial" w:hAnsi="Arial" w:cs="Arial"/>
          <w:sz w:val="36"/>
          <w:szCs w:val="36"/>
        </w:rPr>
        <w:t>ESTATE PLANNING CHECKLIST</w:t>
      </w:r>
    </w:p>
    <w:p w14:paraId="78F43F35" w14:textId="77777777" w:rsidR="00C4721A" w:rsidRDefault="00C4721A" w:rsidP="00C4721A">
      <w:pPr>
        <w:pStyle w:val="NormalWeb"/>
        <w:rPr>
          <w:rFonts w:ascii="Arial" w:hAnsi="Arial" w:cs="Arial"/>
          <w:sz w:val="27"/>
          <w:szCs w:val="27"/>
        </w:rPr>
      </w:pPr>
    </w:p>
    <w:p w14:paraId="3EDDA28C" w14:textId="7B25D3EE" w:rsidR="00C4721A" w:rsidRDefault="00A6386F" w:rsidP="00C4721A">
      <w:pPr>
        <w:pStyle w:val="NormalWeb"/>
        <w:rPr>
          <w:rFonts w:ascii="Arial" w:hAnsi="Arial" w:cs="Arial"/>
          <w:sz w:val="27"/>
          <w:szCs w:val="27"/>
        </w:rPr>
      </w:pPr>
      <w:r>
        <w:rPr>
          <w:rFonts w:ascii="Arial" w:hAnsi="Arial" w:cs="Arial"/>
          <w:sz w:val="27"/>
          <w:szCs w:val="27"/>
        </w:rPr>
        <w:t xml:space="preserve">A person creating an estate plan should carefully examine each of the following documents to see if it will help secure their estate and their family’s future. None of the documents are required by law but it is critical that, if drafted, they are established in accordance with North Carolina laws. To make sure nothing is left out of an estate plan, contact a trusted attorney for legal advice. </w:t>
      </w:r>
    </w:p>
    <w:p w14:paraId="4973C80C" w14:textId="7E7EBA5A" w:rsidR="00C4721A" w:rsidRDefault="00C4721A">
      <w:pPr>
        <w:pStyle w:val="NormalWeb"/>
        <w:rPr>
          <w:rStyle w:val="Strong"/>
          <w:rFonts w:ascii="Arial" w:hAnsi="Arial" w:cs="Arial"/>
          <w:sz w:val="32"/>
          <w:szCs w:val="32"/>
        </w:rPr>
      </w:pPr>
    </w:p>
    <w:p w14:paraId="6E35C031" w14:textId="22621EBB"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5C527D">
        <w:rPr>
          <w:rStyle w:val="Strong"/>
          <w:rFonts w:ascii="Arial" w:hAnsi="Arial" w:cs="Arial"/>
          <w:sz w:val="32"/>
          <w:szCs w:val="32"/>
        </w:rPr>
        <w:t xml:space="preserve">- </w:t>
      </w:r>
      <w:r w:rsidR="00A6386F">
        <w:rPr>
          <w:rStyle w:val="Strong"/>
          <w:rFonts w:ascii="Arial" w:hAnsi="Arial" w:cs="Arial"/>
          <w:sz w:val="32"/>
          <w:szCs w:val="32"/>
        </w:rPr>
        <w:t xml:space="preserve">Appoint a </w:t>
      </w:r>
      <w:r w:rsidR="005C527D">
        <w:rPr>
          <w:rStyle w:val="Strong"/>
          <w:rFonts w:ascii="Arial" w:hAnsi="Arial" w:cs="Arial"/>
          <w:sz w:val="32"/>
          <w:szCs w:val="32"/>
        </w:rPr>
        <w:t xml:space="preserve">Health Care </w:t>
      </w:r>
      <w:r w:rsidR="00A6386F">
        <w:rPr>
          <w:rStyle w:val="Strong"/>
          <w:rFonts w:ascii="Arial" w:hAnsi="Arial" w:cs="Arial"/>
          <w:sz w:val="32"/>
          <w:szCs w:val="32"/>
        </w:rPr>
        <w:t>Agent</w:t>
      </w:r>
    </w:p>
    <w:p w14:paraId="6A63F37D" w14:textId="00F7E2FB" w:rsidR="00C4721A" w:rsidRDefault="00C4721A">
      <w:pPr>
        <w:pStyle w:val="NormalWeb"/>
        <w:rPr>
          <w:rStyle w:val="Strong"/>
          <w:rFonts w:ascii="Arial" w:hAnsi="Arial" w:cs="Arial"/>
          <w:sz w:val="32"/>
          <w:szCs w:val="32"/>
        </w:rPr>
      </w:pPr>
    </w:p>
    <w:p w14:paraId="55732AFA" w14:textId="77777777" w:rsidR="00533D96" w:rsidRDefault="00A6386F" w:rsidP="00A6386F">
      <w:pPr>
        <w:pStyle w:val="NormalWeb"/>
        <w:rPr>
          <w:rFonts w:ascii="Arial" w:hAnsi="Arial" w:cs="Arial"/>
          <w:color w:val="252525"/>
          <w:sz w:val="27"/>
          <w:szCs w:val="27"/>
          <w:shd w:val="clear" w:color="auto" w:fill="FFFFFF"/>
        </w:rPr>
      </w:pPr>
      <w:r w:rsidRPr="00A6386F">
        <w:rPr>
          <w:rFonts w:ascii="Arial" w:hAnsi="Arial" w:cs="Arial"/>
          <w:color w:val="252525"/>
          <w:sz w:val="27"/>
          <w:szCs w:val="27"/>
          <w:shd w:val="clear" w:color="auto" w:fill="FFFFFF"/>
        </w:rPr>
        <w:t>A </w:t>
      </w:r>
      <w:r w:rsidRPr="00A6386F">
        <w:rPr>
          <w:rStyle w:val="Strong"/>
          <w:rFonts w:ascii="Arial" w:hAnsi="Arial" w:cs="Arial"/>
          <w:color w:val="252525"/>
          <w:sz w:val="27"/>
          <w:szCs w:val="27"/>
          <w:shd w:val="clear" w:color="auto" w:fill="FFFFFF"/>
        </w:rPr>
        <w:t>health care agent</w:t>
      </w:r>
      <w:r w:rsidRPr="00A6386F">
        <w:rPr>
          <w:rFonts w:ascii="Arial" w:hAnsi="Arial" w:cs="Arial"/>
          <w:color w:val="252525"/>
          <w:sz w:val="27"/>
          <w:szCs w:val="27"/>
          <w:shd w:val="clear" w:color="auto" w:fill="FFFFFF"/>
        </w:rPr>
        <w:t> is an individual tasked with communicating a person’s (principal) wishes to health care professionals should that person become incapacitated; i.e., unable to make informed medical decisions for themselves. An agent should be a trusted individual, one who is close to the principal and understands their values and character (typically a spouse or other close family member).</w:t>
      </w:r>
    </w:p>
    <w:p w14:paraId="1A40D93B" w14:textId="2942B882" w:rsidR="00A6386F" w:rsidRPr="00533D96" w:rsidRDefault="00533D96" w:rsidP="00A6386F">
      <w:pPr>
        <w:pStyle w:val="NormalWeb"/>
        <w:rPr>
          <w:rFonts w:ascii="Arial" w:hAnsi="Arial" w:cs="Arial"/>
          <w:color w:val="252525"/>
          <w:sz w:val="27"/>
          <w:szCs w:val="27"/>
          <w:shd w:val="clear" w:color="auto" w:fill="FFFFFF"/>
        </w:rPr>
      </w:pPr>
      <w:hyperlink r:id="rId7" w:history="1">
        <w:r w:rsidRPr="00533D96">
          <w:rPr>
            <w:rStyle w:val="Hyperlink"/>
            <w:rFonts w:ascii="Arial" w:hAnsi="Arial" w:cs="Arial"/>
            <w:sz w:val="27"/>
            <w:szCs w:val="27"/>
            <w:shd w:val="clear" w:color="auto" w:fill="FFFFFF"/>
          </w:rPr>
          <w:t>Health Care Power of Attorney</w:t>
        </w:r>
      </w:hyperlink>
      <w:r w:rsidR="00A6386F" w:rsidRPr="00A6386F">
        <w:rPr>
          <w:rFonts w:ascii="Arial" w:hAnsi="Arial" w:cs="Arial"/>
          <w:color w:val="252525"/>
          <w:sz w:val="27"/>
          <w:szCs w:val="27"/>
          <w:shd w:val="clear" w:color="auto" w:fill="FFFFFF"/>
        </w:rPr>
        <w:t xml:space="preserve"> – This is a legal instrument that establishes the authority granted to a health care agent by the principal. Through this instrument, the Principal </w:t>
      </w:r>
      <w:proofErr w:type="gramStart"/>
      <w:r w:rsidR="00A6386F" w:rsidRPr="00A6386F">
        <w:rPr>
          <w:rFonts w:ascii="Arial" w:hAnsi="Arial" w:cs="Arial"/>
          <w:color w:val="252525"/>
          <w:sz w:val="27"/>
          <w:szCs w:val="27"/>
          <w:shd w:val="clear" w:color="auto" w:fill="FFFFFF"/>
        </w:rPr>
        <w:t>is able to</w:t>
      </w:r>
      <w:proofErr w:type="gramEnd"/>
      <w:r w:rsidR="00A6386F" w:rsidRPr="00A6386F">
        <w:rPr>
          <w:rFonts w:ascii="Arial" w:hAnsi="Arial" w:cs="Arial"/>
          <w:color w:val="252525"/>
          <w:sz w:val="27"/>
          <w:szCs w:val="27"/>
          <w:shd w:val="clear" w:color="auto" w:fill="FFFFFF"/>
        </w:rPr>
        <w:t xml:space="preserve"> outline which powers a health care agent will acquire in the event of their incapacitation. A Health Care POA also includes sections </w:t>
      </w:r>
      <w:r w:rsidR="00A6386F">
        <w:rPr>
          <w:rFonts w:ascii="Arial" w:hAnsi="Arial" w:cs="Arial"/>
          <w:color w:val="252525"/>
          <w:sz w:val="27"/>
          <w:szCs w:val="27"/>
          <w:shd w:val="clear" w:color="auto" w:fill="FFFFFF"/>
        </w:rPr>
        <w:t>regarding</w:t>
      </w:r>
      <w:r w:rsidR="00A6386F" w:rsidRPr="00A6386F">
        <w:rPr>
          <w:rFonts w:ascii="Arial" w:hAnsi="Arial" w:cs="Arial"/>
          <w:color w:val="252525"/>
          <w:sz w:val="27"/>
          <w:szCs w:val="27"/>
          <w:shd w:val="clear" w:color="auto" w:fill="FFFFFF"/>
        </w:rPr>
        <w:t xml:space="preserve"> organ donation, guardianship, and authoritative-limitations of the health care agent.</w:t>
      </w:r>
    </w:p>
    <w:p w14:paraId="7D3F5FF9" w14:textId="6E7288C9" w:rsidR="00FE514C" w:rsidRPr="00A6386F" w:rsidRDefault="00FE514C" w:rsidP="00FE514C">
      <w:pPr>
        <w:pStyle w:val="NormalWeb"/>
        <w:numPr>
          <w:ilvl w:val="0"/>
          <w:numId w:val="6"/>
        </w:numPr>
        <w:rPr>
          <w:rFonts w:ascii="Arial" w:hAnsi="Arial" w:cs="Arial"/>
          <w:bCs/>
          <w:sz w:val="27"/>
          <w:szCs w:val="27"/>
        </w:rPr>
      </w:pPr>
      <w:r>
        <w:rPr>
          <w:rFonts w:ascii="Arial" w:hAnsi="Arial" w:cs="Arial"/>
          <w:b/>
          <w:bCs/>
          <w:sz w:val="27"/>
          <w:szCs w:val="27"/>
        </w:rPr>
        <w:t>Signing Requirements</w:t>
      </w:r>
      <w:r w:rsidR="005C527D">
        <w:rPr>
          <w:rFonts w:ascii="Arial" w:hAnsi="Arial" w:cs="Arial"/>
          <w:b/>
          <w:bCs/>
          <w:sz w:val="27"/>
          <w:szCs w:val="27"/>
        </w:rPr>
        <w:t xml:space="preserve"> </w:t>
      </w:r>
      <w:r w:rsidR="00533D96">
        <w:rPr>
          <w:rFonts w:ascii="Arial" w:hAnsi="Arial" w:cs="Arial"/>
          <w:color w:val="252525"/>
          <w:sz w:val="27"/>
          <w:szCs w:val="27"/>
          <w:shd w:val="clear" w:color="auto" w:fill="FFFFFF"/>
        </w:rPr>
        <w:t>(</w:t>
      </w:r>
      <w:hyperlink r:id="rId8" w:history="1">
        <w:r w:rsidR="00533D96" w:rsidRPr="00533D96">
          <w:rPr>
            <w:rStyle w:val="Hyperlink"/>
            <w:rFonts w:ascii="Arial" w:hAnsi="Arial" w:cs="Arial"/>
            <w:sz w:val="27"/>
            <w:szCs w:val="27"/>
            <w:shd w:val="clear" w:color="auto" w:fill="FFFFFF"/>
            <w:lang w:val="en-CA"/>
          </w:rPr>
          <w:t>§ 3</w:t>
        </w:r>
        <w:r w:rsidR="00533D96" w:rsidRPr="00533D96">
          <w:rPr>
            <w:rStyle w:val="Hyperlink"/>
            <w:rFonts w:ascii="Arial" w:hAnsi="Arial" w:cs="Arial"/>
            <w:sz w:val="27"/>
            <w:szCs w:val="27"/>
            <w:shd w:val="clear" w:color="auto" w:fill="FFFFFF"/>
            <w:lang w:val="en-CA"/>
          </w:rPr>
          <w:t>2A-16</w:t>
        </w:r>
      </w:hyperlink>
      <w:r w:rsidR="00A6386F" w:rsidRPr="00A6386F">
        <w:rPr>
          <w:rFonts w:ascii="Arial" w:hAnsi="Arial" w:cs="Arial"/>
          <w:color w:val="252525"/>
          <w:sz w:val="27"/>
          <w:szCs w:val="27"/>
          <w:shd w:val="clear" w:color="auto" w:fill="FFFFFF"/>
        </w:rPr>
        <w:t>) – Must be signed in the presence of two (2) qualified witnesses and acknowledged before a notary public.</w:t>
      </w:r>
    </w:p>
    <w:p w14:paraId="57866CBC" w14:textId="77777777" w:rsidR="00C4721A" w:rsidRDefault="00C4721A">
      <w:pPr>
        <w:pStyle w:val="Heading3"/>
        <w:rPr>
          <w:rStyle w:val="Strong"/>
          <w:rFonts w:ascii="Arial" w:hAnsi="Arial" w:cs="Arial"/>
          <w:b/>
          <w:bCs/>
          <w:sz w:val="32"/>
          <w:szCs w:val="32"/>
        </w:rPr>
      </w:pPr>
    </w:p>
    <w:p w14:paraId="58DEB19D" w14:textId="013F09C5" w:rsidR="00FF2F8B" w:rsidRDefault="00A9662C">
      <w:pPr>
        <w:pStyle w:val="Heading3"/>
      </w:pPr>
      <w:r>
        <w:rPr>
          <w:rStyle w:val="Strong"/>
          <w:rFonts w:ascii="Arial" w:hAnsi="Arial" w:cs="Arial"/>
          <w:b/>
          <w:bCs/>
          <w:sz w:val="32"/>
          <w:szCs w:val="32"/>
        </w:rPr>
        <w:t xml:space="preserve">Step 2 </w:t>
      </w:r>
      <w:r w:rsidR="005C527D">
        <w:rPr>
          <w:rStyle w:val="Strong"/>
          <w:rFonts w:ascii="Arial" w:hAnsi="Arial" w:cs="Arial"/>
          <w:b/>
          <w:bCs/>
          <w:sz w:val="32"/>
          <w:szCs w:val="32"/>
        </w:rPr>
        <w:t xml:space="preserve">- </w:t>
      </w:r>
      <w:r w:rsidR="00A6386F">
        <w:rPr>
          <w:rStyle w:val="Strong"/>
          <w:rFonts w:ascii="Arial" w:hAnsi="Arial" w:cs="Arial"/>
          <w:b/>
          <w:bCs/>
          <w:sz w:val="32"/>
          <w:szCs w:val="32"/>
        </w:rPr>
        <w:t>Appoint a Financial Agent</w:t>
      </w:r>
    </w:p>
    <w:p w14:paraId="1B4C1D12" w14:textId="77777777" w:rsidR="00C4721A" w:rsidRDefault="00C4721A">
      <w:pPr>
        <w:pStyle w:val="NormalWeb"/>
        <w:rPr>
          <w:rFonts w:ascii="Arial" w:hAnsi="Arial" w:cs="Arial"/>
          <w:sz w:val="27"/>
          <w:szCs w:val="27"/>
        </w:rPr>
      </w:pPr>
    </w:p>
    <w:p w14:paraId="1C368822" w14:textId="1F18C299" w:rsidR="00852603" w:rsidRPr="00852603" w:rsidRDefault="00852603" w:rsidP="00852603">
      <w:pPr>
        <w:pStyle w:val="NormalWeb"/>
        <w:shd w:val="clear" w:color="auto" w:fill="FFFFFF"/>
        <w:spacing w:before="0" w:after="240"/>
        <w:rPr>
          <w:rFonts w:ascii="Arial" w:hAnsi="Arial" w:cs="Arial"/>
          <w:color w:val="252525"/>
          <w:sz w:val="27"/>
          <w:szCs w:val="27"/>
        </w:rPr>
      </w:pPr>
      <w:r w:rsidRPr="00852603">
        <w:rPr>
          <w:rFonts w:ascii="Arial" w:hAnsi="Arial" w:cs="Arial"/>
          <w:color w:val="252525"/>
          <w:sz w:val="27"/>
          <w:szCs w:val="27"/>
        </w:rPr>
        <w:t>A </w:t>
      </w:r>
      <w:r w:rsidRPr="00852603">
        <w:rPr>
          <w:rStyle w:val="Strong"/>
          <w:rFonts w:ascii="Arial" w:hAnsi="Arial" w:cs="Arial"/>
          <w:color w:val="252525"/>
          <w:sz w:val="27"/>
          <w:szCs w:val="27"/>
        </w:rPr>
        <w:t>financial agent</w:t>
      </w:r>
      <w:r w:rsidRPr="00852603">
        <w:rPr>
          <w:rFonts w:ascii="Arial" w:hAnsi="Arial" w:cs="Arial"/>
          <w:color w:val="252525"/>
          <w:sz w:val="27"/>
          <w:szCs w:val="27"/>
        </w:rPr>
        <w:t xml:space="preserve"> is a position established by execution of a Durable Power of Attorney that enables the agent to manage the principal’s assets and other financial matters. Appointing a financial agent is an act that is effective immediately after a POA is </w:t>
      </w:r>
      <w:r w:rsidR="00533D96" w:rsidRPr="00852603">
        <w:rPr>
          <w:rFonts w:ascii="Arial" w:hAnsi="Arial" w:cs="Arial"/>
          <w:color w:val="252525"/>
          <w:sz w:val="27"/>
          <w:szCs w:val="27"/>
        </w:rPr>
        <w:t>signed and</w:t>
      </w:r>
      <w:r w:rsidRPr="00852603">
        <w:rPr>
          <w:rFonts w:ascii="Arial" w:hAnsi="Arial" w:cs="Arial"/>
          <w:color w:val="252525"/>
          <w:sz w:val="27"/>
          <w:szCs w:val="27"/>
        </w:rPr>
        <w:t xml:space="preserve"> remains in effect even if the principal becomes incapacitated. An agent should be a trusted individual who will always act with the best interests of the principal and the principal’s family in mind.</w:t>
      </w:r>
    </w:p>
    <w:p w14:paraId="73113D6A" w14:textId="10198A1C" w:rsidR="00852603" w:rsidRPr="00852603" w:rsidRDefault="00533D96" w:rsidP="00852603">
      <w:pPr>
        <w:pStyle w:val="NormalWeb"/>
        <w:shd w:val="clear" w:color="auto" w:fill="FFFFFF"/>
        <w:spacing w:before="0" w:after="240"/>
        <w:rPr>
          <w:rFonts w:ascii="Arial" w:hAnsi="Arial" w:cs="Arial"/>
          <w:color w:val="252525"/>
          <w:sz w:val="27"/>
          <w:szCs w:val="27"/>
        </w:rPr>
      </w:pPr>
      <w:hyperlink r:id="rId9" w:history="1">
        <w:r w:rsidRPr="00533D96">
          <w:rPr>
            <w:rStyle w:val="Hyperlink"/>
            <w:rFonts w:ascii="Arial" w:hAnsi="Arial" w:cs="Arial"/>
            <w:sz w:val="27"/>
            <w:szCs w:val="27"/>
          </w:rPr>
          <w:t>Durable (Financial) Power of Attorney</w:t>
        </w:r>
      </w:hyperlink>
      <w:r>
        <w:rPr>
          <w:rFonts w:ascii="Arial" w:hAnsi="Arial" w:cs="Arial"/>
          <w:color w:val="252525"/>
          <w:sz w:val="27"/>
          <w:szCs w:val="27"/>
        </w:rPr>
        <w:t xml:space="preserve"> – </w:t>
      </w:r>
      <w:r w:rsidR="00852603" w:rsidRPr="00852603">
        <w:rPr>
          <w:rFonts w:ascii="Arial" w:hAnsi="Arial" w:cs="Arial"/>
          <w:color w:val="252525"/>
          <w:sz w:val="27"/>
          <w:szCs w:val="27"/>
        </w:rPr>
        <w:t>A legal instrument containing the outline of the relationship between a principal and their financial agent. “Durable” means that even if the principal becomes incapacitated, the financial agent is still in charge of all financial matters that have been included in the Power of Attorney. Below is a list of subjects that can be included in the financial agent’s authority. The principal should also appoint a successor agent and even a second successor agent in case their first choice is unable or unwilling to act for them.</w:t>
      </w:r>
    </w:p>
    <w:p w14:paraId="776E0D21" w14:textId="2F0A4821" w:rsidR="00852603" w:rsidRPr="00852603" w:rsidRDefault="00852603" w:rsidP="00852603">
      <w:pPr>
        <w:numPr>
          <w:ilvl w:val="0"/>
          <w:numId w:val="10"/>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sidRPr="00852603">
        <w:rPr>
          <w:rStyle w:val="Strong"/>
          <w:rFonts w:ascii="Arial" w:hAnsi="Arial" w:cs="Arial"/>
          <w:color w:val="252525"/>
          <w:sz w:val="27"/>
          <w:szCs w:val="27"/>
        </w:rPr>
        <w:t>Signing Requirements</w:t>
      </w:r>
      <w:r w:rsidRPr="00852603">
        <w:rPr>
          <w:rFonts w:ascii="Arial" w:hAnsi="Arial" w:cs="Arial"/>
          <w:color w:val="252525"/>
          <w:sz w:val="27"/>
          <w:szCs w:val="27"/>
        </w:rPr>
        <w:t> </w:t>
      </w:r>
      <w:r w:rsidR="00533D96">
        <w:rPr>
          <w:rFonts w:ascii="Arial" w:hAnsi="Arial" w:cs="Arial"/>
          <w:color w:val="252525"/>
          <w:sz w:val="27"/>
          <w:szCs w:val="27"/>
        </w:rPr>
        <w:t>(</w:t>
      </w:r>
      <w:hyperlink r:id="rId10" w:history="1">
        <w:r w:rsidR="00533D96" w:rsidRPr="00533D96">
          <w:rPr>
            <w:rStyle w:val="Hyperlink"/>
            <w:rFonts w:ascii="Arial" w:hAnsi="Arial" w:cs="Arial"/>
            <w:sz w:val="27"/>
            <w:szCs w:val="27"/>
            <w:lang w:val="en-CA"/>
          </w:rPr>
          <w:t>§ 32C-1-105</w:t>
        </w:r>
      </w:hyperlink>
      <w:r w:rsidR="00533D96">
        <w:rPr>
          <w:rFonts w:ascii="Arial" w:hAnsi="Arial" w:cs="Arial"/>
          <w:color w:val="252525"/>
          <w:sz w:val="27"/>
          <w:szCs w:val="27"/>
          <w:lang w:val="en-CA"/>
        </w:rPr>
        <w:t xml:space="preserve">) </w:t>
      </w:r>
      <w:r w:rsidRPr="00852603">
        <w:rPr>
          <w:rFonts w:ascii="Arial" w:hAnsi="Arial" w:cs="Arial"/>
          <w:color w:val="252525"/>
          <w:sz w:val="27"/>
          <w:szCs w:val="27"/>
        </w:rPr>
        <w:t>– A POA must be signed by the principal and acknowledged by a notary public.</w:t>
      </w:r>
    </w:p>
    <w:p w14:paraId="53FAB47B" w14:textId="77777777" w:rsidR="00852603" w:rsidRPr="00852603" w:rsidRDefault="00852603" w:rsidP="00852603">
      <w:pPr>
        <w:pStyle w:val="NormalWeb"/>
        <w:shd w:val="clear" w:color="auto" w:fill="FFFFFF"/>
        <w:spacing w:before="0" w:after="240"/>
        <w:rPr>
          <w:rFonts w:ascii="Arial" w:hAnsi="Arial" w:cs="Arial"/>
          <w:color w:val="252525"/>
          <w:sz w:val="27"/>
          <w:szCs w:val="27"/>
        </w:rPr>
      </w:pPr>
      <w:r w:rsidRPr="00852603">
        <w:rPr>
          <w:rStyle w:val="Strong"/>
          <w:rFonts w:ascii="Arial" w:hAnsi="Arial" w:cs="Arial"/>
          <w:color w:val="252525"/>
          <w:sz w:val="27"/>
          <w:szCs w:val="27"/>
        </w:rPr>
        <w:t>Financial Powers Allowed:</w:t>
      </w:r>
    </w:p>
    <w:p w14:paraId="3C711E97" w14:textId="5D1EE581" w:rsidR="00852603"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Real property (</w:t>
      </w:r>
      <w:hyperlink r:id="rId11"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32C-2-204</w:t>
        </w:r>
      </w:hyperlink>
      <w:r>
        <w:rPr>
          <w:rFonts w:ascii="Arial" w:hAnsi="Arial" w:cs="Arial"/>
          <w:color w:val="252525"/>
          <w:sz w:val="27"/>
          <w:szCs w:val="27"/>
          <w:lang w:val="en-CA"/>
        </w:rPr>
        <w:t>);</w:t>
      </w:r>
    </w:p>
    <w:p w14:paraId="480EE001" w14:textId="010B511E"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Tangible personal property </w:t>
      </w:r>
      <w:r>
        <w:rPr>
          <w:rFonts w:ascii="Arial" w:hAnsi="Arial" w:cs="Arial"/>
          <w:color w:val="252525"/>
          <w:sz w:val="27"/>
          <w:szCs w:val="27"/>
        </w:rPr>
        <w:t>(</w:t>
      </w:r>
      <w:hyperlink r:id="rId12"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32C-2-20</w:t>
        </w:r>
        <w:r>
          <w:rPr>
            <w:rStyle w:val="Hyperlink"/>
            <w:rFonts w:ascii="Arial" w:hAnsi="Arial" w:cs="Arial"/>
            <w:sz w:val="27"/>
            <w:szCs w:val="27"/>
            <w:lang w:val="en-CA"/>
          </w:rPr>
          <w:t>5</w:t>
        </w:r>
      </w:hyperlink>
      <w:r>
        <w:rPr>
          <w:rFonts w:ascii="Arial" w:hAnsi="Arial" w:cs="Arial"/>
          <w:color w:val="252525"/>
          <w:sz w:val="27"/>
          <w:szCs w:val="27"/>
          <w:lang w:val="en-CA"/>
        </w:rPr>
        <w:t>);</w:t>
      </w:r>
    </w:p>
    <w:p w14:paraId="49A83F7C" w14:textId="041F3B6E"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Stocks and bonds </w:t>
      </w:r>
      <w:r>
        <w:rPr>
          <w:rFonts w:ascii="Arial" w:hAnsi="Arial" w:cs="Arial"/>
          <w:color w:val="252525"/>
          <w:sz w:val="27"/>
          <w:szCs w:val="27"/>
        </w:rPr>
        <w:t>(</w:t>
      </w:r>
      <w:hyperlink r:id="rId13"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32C-2-20</w:t>
        </w:r>
        <w:r w:rsidRPr="00533D96">
          <w:rPr>
            <w:rStyle w:val="Hyperlink"/>
            <w:rFonts w:ascii="Arial" w:hAnsi="Arial" w:cs="Arial"/>
            <w:sz w:val="27"/>
            <w:szCs w:val="27"/>
            <w:lang w:val="en-CA"/>
          </w:rPr>
          <w:t>6</w:t>
        </w:r>
      </w:hyperlink>
      <w:r>
        <w:rPr>
          <w:rFonts w:ascii="Arial" w:hAnsi="Arial" w:cs="Arial"/>
          <w:color w:val="252525"/>
          <w:sz w:val="27"/>
          <w:szCs w:val="27"/>
          <w:lang w:val="en-CA"/>
        </w:rPr>
        <w:t>);</w:t>
      </w:r>
    </w:p>
    <w:p w14:paraId="22C9FF55" w14:textId="2E7959D1"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Commodities and options </w:t>
      </w:r>
      <w:r>
        <w:rPr>
          <w:rFonts w:ascii="Arial" w:hAnsi="Arial" w:cs="Arial"/>
          <w:color w:val="252525"/>
          <w:sz w:val="27"/>
          <w:szCs w:val="27"/>
        </w:rPr>
        <w:t>(</w:t>
      </w:r>
      <w:hyperlink r:id="rId14"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32C-2-20</w:t>
        </w:r>
        <w:r w:rsidRPr="00533D96">
          <w:rPr>
            <w:rStyle w:val="Hyperlink"/>
            <w:rFonts w:ascii="Arial" w:hAnsi="Arial" w:cs="Arial"/>
            <w:sz w:val="27"/>
            <w:szCs w:val="27"/>
            <w:lang w:val="en-CA"/>
          </w:rPr>
          <w:t>7</w:t>
        </w:r>
      </w:hyperlink>
      <w:r>
        <w:rPr>
          <w:rFonts w:ascii="Arial" w:hAnsi="Arial" w:cs="Arial"/>
          <w:color w:val="252525"/>
          <w:sz w:val="27"/>
          <w:szCs w:val="27"/>
          <w:lang w:val="en-CA"/>
        </w:rPr>
        <w:t>);</w:t>
      </w:r>
    </w:p>
    <w:p w14:paraId="690B1C10" w14:textId="7F5E0998"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Banks and other financial institutions </w:t>
      </w:r>
      <w:r>
        <w:rPr>
          <w:rFonts w:ascii="Arial" w:hAnsi="Arial" w:cs="Arial"/>
          <w:color w:val="252525"/>
          <w:sz w:val="27"/>
          <w:szCs w:val="27"/>
        </w:rPr>
        <w:t>(</w:t>
      </w:r>
      <w:hyperlink r:id="rId15" w:history="1">
        <w:r w:rsidRPr="00533D96">
          <w:rPr>
            <w:rStyle w:val="Hyperlink"/>
            <w:rFonts w:ascii="Arial" w:hAnsi="Arial" w:cs="Arial"/>
            <w:sz w:val="27"/>
            <w:szCs w:val="27"/>
            <w:lang w:val="en-CA"/>
          </w:rPr>
          <w:t>§ 32C-2-20</w:t>
        </w:r>
        <w:r w:rsidRPr="00533D96">
          <w:rPr>
            <w:rStyle w:val="Hyperlink"/>
            <w:rFonts w:ascii="Arial" w:hAnsi="Arial" w:cs="Arial"/>
            <w:sz w:val="27"/>
            <w:szCs w:val="27"/>
            <w:lang w:val="en-CA"/>
          </w:rPr>
          <w:t>8</w:t>
        </w:r>
      </w:hyperlink>
      <w:r>
        <w:rPr>
          <w:rFonts w:ascii="Arial" w:hAnsi="Arial" w:cs="Arial"/>
          <w:color w:val="252525"/>
          <w:sz w:val="27"/>
          <w:szCs w:val="27"/>
          <w:lang w:val="en-CA"/>
        </w:rPr>
        <w:t>);</w:t>
      </w:r>
    </w:p>
    <w:p w14:paraId="409A0CB5" w14:textId="0637AE22"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Operation of entity </w:t>
      </w:r>
      <w:r>
        <w:rPr>
          <w:rFonts w:ascii="Arial" w:hAnsi="Arial" w:cs="Arial"/>
          <w:color w:val="252525"/>
          <w:sz w:val="27"/>
          <w:szCs w:val="27"/>
        </w:rPr>
        <w:t>(</w:t>
      </w:r>
      <w:hyperlink r:id="rId16"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32C-2-20</w:t>
        </w:r>
        <w:r w:rsidRPr="00533D96">
          <w:rPr>
            <w:rStyle w:val="Hyperlink"/>
            <w:rFonts w:ascii="Arial" w:hAnsi="Arial" w:cs="Arial"/>
            <w:sz w:val="27"/>
            <w:szCs w:val="27"/>
            <w:lang w:val="en-CA"/>
          </w:rPr>
          <w:t>9</w:t>
        </w:r>
      </w:hyperlink>
      <w:r>
        <w:rPr>
          <w:rFonts w:ascii="Arial" w:hAnsi="Arial" w:cs="Arial"/>
          <w:color w:val="252525"/>
          <w:sz w:val="27"/>
          <w:szCs w:val="27"/>
          <w:lang w:val="en-CA"/>
        </w:rPr>
        <w:t>);</w:t>
      </w:r>
    </w:p>
    <w:p w14:paraId="6873498A" w14:textId="0D928DCB"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Insurance and annuities </w:t>
      </w:r>
      <w:r>
        <w:rPr>
          <w:rFonts w:ascii="Arial" w:hAnsi="Arial" w:cs="Arial"/>
          <w:color w:val="252525"/>
          <w:sz w:val="27"/>
          <w:szCs w:val="27"/>
        </w:rPr>
        <w:t>(</w:t>
      </w:r>
      <w:hyperlink r:id="rId17"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w:t>
        </w:r>
        <w:r w:rsidRPr="00533D96">
          <w:rPr>
            <w:rStyle w:val="Hyperlink"/>
            <w:rFonts w:ascii="Arial" w:hAnsi="Arial" w:cs="Arial"/>
            <w:sz w:val="27"/>
            <w:szCs w:val="27"/>
            <w:lang w:val="en-CA"/>
          </w:rPr>
          <w:t>10</w:t>
        </w:r>
      </w:hyperlink>
      <w:r>
        <w:rPr>
          <w:rFonts w:ascii="Arial" w:hAnsi="Arial" w:cs="Arial"/>
          <w:color w:val="252525"/>
          <w:sz w:val="27"/>
          <w:szCs w:val="27"/>
          <w:lang w:val="en-CA"/>
        </w:rPr>
        <w:t>);</w:t>
      </w:r>
    </w:p>
    <w:p w14:paraId="109DF43A" w14:textId="34DA2D63"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Estates, trusts, and other beneficial interests </w:t>
      </w:r>
      <w:r>
        <w:rPr>
          <w:rFonts w:ascii="Arial" w:hAnsi="Arial" w:cs="Arial"/>
          <w:color w:val="252525"/>
          <w:sz w:val="27"/>
          <w:szCs w:val="27"/>
        </w:rPr>
        <w:t>(</w:t>
      </w:r>
      <w:hyperlink r:id="rId18" w:history="1">
        <w:r w:rsidRPr="00533D96">
          <w:rPr>
            <w:rStyle w:val="Hyperlink"/>
            <w:rFonts w:ascii="Arial" w:hAnsi="Arial" w:cs="Arial"/>
            <w:sz w:val="27"/>
            <w:szCs w:val="27"/>
            <w:lang w:val="en-CA"/>
          </w:rPr>
          <w:t>§ 32C-2-2</w:t>
        </w:r>
        <w:r w:rsidRPr="00533D96">
          <w:rPr>
            <w:rStyle w:val="Hyperlink"/>
            <w:rFonts w:ascii="Arial" w:hAnsi="Arial" w:cs="Arial"/>
            <w:sz w:val="27"/>
            <w:szCs w:val="27"/>
            <w:lang w:val="en-CA"/>
          </w:rPr>
          <w:t>11</w:t>
        </w:r>
      </w:hyperlink>
      <w:r>
        <w:rPr>
          <w:rFonts w:ascii="Arial" w:hAnsi="Arial" w:cs="Arial"/>
          <w:color w:val="252525"/>
          <w:sz w:val="27"/>
          <w:szCs w:val="27"/>
          <w:lang w:val="en-CA"/>
        </w:rPr>
        <w:t>);</w:t>
      </w:r>
    </w:p>
    <w:p w14:paraId="2E24F92A" w14:textId="4E01BBFC"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Claims and litigation </w:t>
      </w:r>
      <w:r>
        <w:rPr>
          <w:rFonts w:ascii="Arial" w:hAnsi="Arial" w:cs="Arial"/>
          <w:color w:val="252525"/>
          <w:sz w:val="27"/>
          <w:szCs w:val="27"/>
        </w:rPr>
        <w:t>(</w:t>
      </w:r>
      <w:hyperlink r:id="rId19"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w:t>
        </w:r>
        <w:r w:rsidRPr="00533D96">
          <w:rPr>
            <w:rStyle w:val="Hyperlink"/>
            <w:rFonts w:ascii="Arial" w:hAnsi="Arial" w:cs="Arial"/>
            <w:sz w:val="27"/>
            <w:szCs w:val="27"/>
            <w:lang w:val="en-CA"/>
          </w:rPr>
          <w:t>12</w:t>
        </w:r>
      </w:hyperlink>
      <w:r>
        <w:rPr>
          <w:rFonts w:ascii="Arial" w:hAnsi="Arial" w:cs="Arial"/>
          <w:color w:val="252525"/>
          <w:sz w:val="27"/>
          <w:szCs w:val="27"/>
          <w:lang w:val="en-CA"/>
        </w:rPr>
        <w:t>);</w:t>
      </w:r>
    </w:p>
    <w:p w14:paraId="2C125984" w14:textId="1A123862"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Personal and family maintenance </w:t>
      </w:r>
      <w:r>
        <w:rPr>
          <w:rFonts w:ascii="Arial" w:hAnsi="Arial" w:cs="Arial"/>
          <w:color w:val="252525"/>
          <w:sz w:val="27"/>
          <w:szCs w:val="27"/>
        </w:rPr>
        <w:t>(</w:t>
      </w:r>
      <w:hyperlink r:id="rId20" w:history="1">
        <w:r w:rsidRPr="00533D96">
          <w:rPr>
            <w:rStyle w:val="Hyperlink"/>
            <w:rFonts w:ascii="Arial" w:hAnsi="Arial" w:cs="Arial"/>
            <w:sz w:val="27"/>
            <w:szCs w:val="27"/>
            <w:lang w:val="en-CA"/>
          </w:rPr>
          <w:t>§ 32C-2-2</w:t>
        </w:r>
        <w:r w:rsidRPr="00533D96">
          <w:rPr>
            <w:rStyle w:val="Hyperlink"/>
            <w:rFonts w:ascii="Arial" w:hAnsi="Arial" w:cs="Arial"/>
            <w:sz w:val="27"/>
            <w:szCs w:val="27"/>
            <w:lang w:val="en-CA"/>
          </w:rPr>
          <w:t>13</w:t>
        </w:r>
      </w:hyperlink>
      <w:r>
        <w:rPr>
          <w:rFonts w:ascii="Arial" w:hAnsi="Arial" w:cs="Arial"/>
          <w:color w:val="252525"/>
          <w:sz w:val="27"/>
          <w:szCs w:val="27"/>
          <w:lang w:val="en-CA"/>
        </w:rPr>
        <w:t>);</w:t>
      </w:r>
    </w:p>
    <w:p w14:paraId="1C4F9A7C" w14:textId="3E0C0C8C"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Benefits from governmental programs or civil or military service </w:t>
      </w:r>
      <w:r>
        <w:rPr>
          <w:rFonts w:ascii="Arial" w:hAnsi="Arial" w:cs="Arial"/>
          <w:color w:val="252525"/>
          <w:sz w:val="27"/>
          <w:szCs w:val="27"/>
        </w:rPr>
        <w:t>(</w:t>
      </w:r>
      <w:hyperlink r:id="rId21" w:history="1">
        <w:r w:rsidRPr="00533D96">
          <w:rPr>
            <w:rStyle w:val="Hyperlink"/>
            <w:rFonts w:ascii="Arial" w:hAnsi="Arial" w:cs="Arial"/>
            <w:sz w:val="27"/>
            <w:szCs w:val="27"/>
            <w:lang w:val="en-CA"/>
          </w:rPr>
          <w:t>§ 32C-2-2</w:t>
        </w:r>
        <w:r w:rsidRPr="00533D96">
          <w:rPr>
            <w:rStyle w:val="Hyperlink"/>
            <w:rFonts w:ascii="Arial" w:hAnsi="Arial" w:cs="Arial"/>
            <w:sz w:val="27"/>
            <w:szCs w:val="27"/>
            <w:lang w:val="en-CA"/>
          </w:rPr>
          <w:t>1</w:t>
        </w:r>
        <w:r w:rsidRPr="00533D96">
          <w:rPr>
            <w:rStyle w:val="Hyperlink"/>
            <w:rFonts w:ascii="Arial" w:hAnsi="Arial" w:cs="Arial"/>
            <w:sz w:val="27"/>
            <w:szCs w:val="27"/>
            <w:lang w:val="en-CA"/>
          </w:rPr>
          <w:t>4</w:t>
        </w:r>
      </w:hyperlink>
      <w:r>
        <w:rPr>
          <w:rFonts w:ascii="Arial" w:hAnsi="Arial" w:cs="Arial"/>
          <w:color w:val="252525"/>
          <w:sz w:val="27"/>
          <w:szCs w:val="27"/>
          <w:lang w:val="en-CA"/>
        </w:rPr>
        <w:t>);</w:t>
      </w:r>
    </w:p>
    <w:p w14:paraId="3A0F00E0" w14:textId="58805B60"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Retirement plans </w:t>
      </w:r>
      <w:r>
        <w:rPr>
          <w:rFonts w:ascii="Arial" w:hAnsi="Arial" w:cs="Arial"/>
          <w:color w:val="252525"/>
          <w:sz w:val="27"/>
          <w:szCs w:val="27"/>
        </w:rPr>
        <w:t>(</w:t>
      </w:r>
      <w:hyperlink r:id="rId22"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w:t>
        </w:r>
        <w:r w:rsidRPr="00533D96">
          <w:rPr>
            <w:rStyle w:val="Hyperlink"/>
            <w:rFonts w:ascii="Arial" w:hAnsi="Arial" w:cs="Arial"/>
            <w:sz w:val="27"/>
            <w:szCs w:val="27"/>
            <w:lang w:val="en-CA"/>
          </w:rPr>
          <w:t>15</w:t>
        </w:r>
      </w:hyperlink>
      <w:r>
        <w:rPr>
          <w:rFonts w:ascii="Arial" w:hAnsi="Arial" w:cs="Arial"/>
          <w:color w:val="252525"/>
          <w:sz w:val="27"/>
          <w:szCs w:val="27"/>
          <w:lang w:val="en-CA"/>
        </w:rPr>
        <w:t>);</w:t>
      </w:r>
    </w:p>
    <w:p w14:paraId="13A850AE" w14:textId="32798EED" w:rsidR="00533D96" w:rsidRPr="00533D96"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Taxes </w:t>
      </w:r>
      <w:r>
        <w:rPr>
          <w:rFonts w:ascii="Arial" w:hAnsi="Arial" w:cs="Arial"/>
          <w:color w:val="252525"/>
          <w:sz w:val="27"/>
          <w:szCs w:val="27"/>
        </w:rPr>
        <w:t>(</w:t>
      </w:r>
      <w:hyperlink r:id="rId23"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w:t>
        </w:r>
        <w:r w:rsidRPr="00533D96">
          <w:rPr>
            <w:rStyle w:val="Hyperlink"/>
            <w:rFonts w:ascii="Arial" w:hAnsi="Arial" w:cs="Arial"/>
            <w:sz w:val="27"/>
            <w:szCs w:val="27"/>
            <w:lang w:val="en-CA"/>
          </w:rPr>
          <w:t>16</w:t>
        </w:r>
      </w:hyperlink>
      <w:r>
        <w:rPr>
          <w:rFonts w:ascii="Arial" w:hAnsi="Arial" w:cs="Arial"/>
          <w:color w:val="252525"/>
          <w:sz w:val="27"/>
          <w:szCs w:val="27"/>
          <w:lang w:val="en-CA"/>
        </w:rPr>
        <w:t>);</w:t>
      </w:r>
      <w:r>
        <w:rPr>
          <w:rFonts w:ascii="Arial" w:hAnsi="Arial" w:cs="Arial"/>
          <w:color w:val="252525"/>
          <w:sz w:val="27"/>
          <w:szCs w:val="27"/>
          <w:lang w:val="en-CA"/>
        </w:rPr>
        <w:t xml:space="preserve"> and</w:t>
      </w:r>
    </w:p>
    <w:p w14:paraId="5DE28FDA" w14:textId="336CF4D5" w:rsidR="00533D96" w:rsidRPr="00852603" w:rsidRDefault="00533D96" w:rsidP="00852603">
      <w:pPr>
        <w:numPr>
          <w:ilvl w:val="0"/>
          <w:numId w:val="11"/>
        </w:numPr>
        <w:shd w:val="clear" w:color="auto" w:fill="FFFFFF"/>
        <w:suppressAutoHyphens w:val="0"/>
        <w:autoSpaceDN/>
        <w:spacing w:before="100" w:beforeAutospacing="1" w:after="100" w:afterAutospacing="1" w:line="300" w:lineRule="atLeast"/>
        <w:ind w:left="375"/>
        <w:textAlignment w:val="auto"/>
        <w:rPr>
          <w:rFonts w:ascii="Arial" w:hAnsi="Arial" w:cs="Arial"/>
          <w:color w:val="252525"/>
          <w:sz w:val="27"/>
          <w:szCs w:val="27"/>
        </w:rPr>
      </w:pPr>
      <w:r>
        <w:rPr>
          <w:rFonts w:ascii="Arial" w:hAnsi="Arial" w:cs="Arial"/>
          <w:color w:val="252525"/>
          <w:sz w:val="27"/>
          <w:szCs w:val="27"/>
        </w:rPr>
        <w:t xml:space="preserve">Gifts </w:t>
      </w:r>
      <w:r>
        <w:rPr>
          <w:rFonts w:ascii="Arial" w:hAnsi="Arial" w:cs="Arial"/>
          <w:color w:val="252525"/>
          <w:sz w:val="27"/>
          <w:szCs w:val="27"/>
        </w:rPr>
        <w:t>(</w:t>
      </w:r>
      <w:hyperlink r:id="rId24" w:history="1">
        <w:r w:rsidRPr="00533D96">
          <w:rPr>
            <w:rStyle w:val="Hyperlink"/>
            <w:rFonts w:ascii="Arial" w:hAnsi="Arial" w:cs="Arial"/>
            <w:sz w:val="27"/>
            <w:szCs w:val="27"/>
            <w:lang w:val="fr-CA"/>
          </w:rPr>
          <w:t>§</w:t>
        </w:r>
        <w:r w:rsidRPr="00533D96">
          <w:rPr>
            <w:rStyle w:val="Hyperlink"/>
            <w:rFonts w:ascii="Arial" w:hAnsi="Arial" w:cs="Arial"/>
            <w:sz w:val="27"/>
            <w:szCs w:val="27"/>
            <w:lang w:val="en-CA"/>
          </w:rPr>
          <w:t xml:space="preserve"> 32C-2-2</w:t>
        </w:r>
        <w:r w:rsidRPr="00533D96">
          <w:rPr>
            <w:rStyle w:val="Hyperlink"/>
            <w:rFonts w:ascii="Arial" w:hAnsi="Arial" w:cs="Arial"/>
            <w:sz w:val="27"/>
            <w:szCs w:val="27"/>
            <w:lang w:val="en-CA"/>
          </w:rPr>
          <w:t>17</w:t>
        </w:r>
      </w:hyperlink>
      <w:r>
        <w:rPr>
          <w:rFonts w:ascii="Arial" w:hAnsi="Arial" w:cs="Arial"/>
          <w:color w:val="252525"/>
          <w:sz w:val="27"/>
          <w:szCs w:val="27"/>
          <w:lang w:val="en-CA"/>
        </w:rPr>
        <w:t>)</w:t>
      </w:r>
      <w:r>
        <w:rPr>
          <w:rFonts w:ascii="Arial" w:hAnsi="Arial" w:cs="Arial"/>
          <w:color w:val="252525"/>
          <w:sz w:val="27"/>
          <w:szCs w:val="27"/>
          <w:lang w:val="en-CA"/>
        </w:rPr>
        <w:t>.</w:t>
      </w:r>
    </w:p>
    <w:p w14:paraId="6F357759" w14:textId="6CE6E9DE"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xml:space="preserve">- </w:t>
      </w:r>
      <w:r w:rsidR="00852603">
        <w:rPr>
          <w:rStyle w:val="Strong"/>
          <w:rFonts w:ascii="Arial" w:hAnsi="Arial" w:cs="Arial"/>
          <w:b/>
          <w:bCs/>
          <w:sz w:val="32"/>
          <w:szCs w:val="32"/>
        </w:rPr>
        <w:t xml:space="preserve">Compile </w:t>
      </w:r>
      <w:r w:rsidR="00542C37">
        <w:rPr>
          <w:rStyle w:val="Strong"/>
          <w:rFonts w:ascii="Arial" w:hAnsi="Arial" w:cs="Arial"/>
          <w:b/>
          <w:bCs/>
          <w:sz w:val="32"/>
          <w:szCs w:val="32"/>
        </w:rPr>
        <w:t>List</w:t>
      </w:r>
      <w:r w:rsidR="00852603">
        <w:rPr>
          <w:rStyle w:val="Strong"/>
          <w:rFonts w:ascii="Arial" w:hAnsi="Arial" w:cs="Arial"/>
          <w:b/>
          <w:bCs/>
          <w:sz w:val="32"/>
          <w:szCs w:val="32"/>
        </w:rPr>
        <w:t xml:space="preserve"> of</w:t>
      </w:r>
      <w:r w:rsidR="00542C37">
        <w:rPr>
          <w:rStyle w:val="Strong"/>
          <w:rFonts w:ascii="Arial" w:hAnsi="Arial" w:cs="Arial"/>
          <w:b/>
          <w:bCs/>
          <w:sz w:val="32"/>
          <w:szCs w:val="32"/>
        </w:rPr>
        <w:t xml:space="preserve"> Assets</w:t>
      </w:r>
    </w:p>
    <w:p w14:paraId="32A7CEEC" w14:textId="77777777" w:rsidR="00C4721A" w:rsidRDefault="00C4721A">
      <w:pPr>
        <w:pStyle w:val="NormalWeb"/>
        <w:rPr>
          <w:rFonts w:ascii="Arial" w:hAnsi="Arial" w:cs="Arial"/>
          <w:sz w:val="27"/>
          <w:szCs w:val="27"/>
        </w:rPr>
      </w:pPr>
    </w:p>
    <w:p w14:paraId="7130780E" w14:textId="0527DB76" w:rsidR="00FF2F8B" w:rsidRPr="00852603" w:rsidRDefault="00852603">
      <w:pPr>
        <w:pStyle w:val="NormalWeb"/>
        <w:rPr>
          <w:sz w:val="27"/>
          <w:szCs w:val="27"/>
        </w:rPr>
      </w:pPr>
      <w:r w:rsidRPr="00852603">
        <w:rPr>
          <w:rFonts w:ascii="Arial" w:hAnsi="Arial" w:cs="Arial"/>
          <w:color w:val="252525"/>
          <w:sz w:val="27"/>
          <w:szCs w:val="27"/>
          <w:shd w:val="clear" w:color="auto" w:fill="FFFFFF"/>
        </w:rPr>
        <w:t>A</w:t>
      </w:r>
      <w:r w:rsidR="00533D96">
        <w:rPr>
          <w:rFonts w:ascii="Arial" w:hAnsi="Arial" w:cs="Arial"/>
          <w:color w:val="252525"/>
          <w:sz w:val="27"/>
          <w:szCs w:val="27"/>
          <w:shd w:val="clear" w:color="auto" w:fill="FFFFFF"/>
        </w:rPr>
        <w:t xml:space="preserve"> </w:t>
      </w:r>
      <w:hyperlink r:id="rId25" w:history="1">
        <w:r w:rsidR="00533D96" w:rsidRPr="00533D96">
          <w:rPr>
            <w:rStyle w:val="Hyperlink"/>
            <w:rFonts w:ascii="Arial" w:hAnsi="Arial" w:cs="Arial"/>
            <w:sz w:val="27"/>
            <w:szCs w:val="27"/>
            <w:shd w:val="clear" w:color="auto" w:fill="FFFFFF"/>
          </w:rPr>
          <w:t>Current Assets List</w:t>
        </w:r>
      </w:hyperlink>
      <w:bookmarkStart w:id="0" w:name="_GoBack"/>
      <w:bookmarkEnd w:id="0"/>
      <w:r w:rsidR="00533D96" w:rsidRPr="00852603">
        <w:rPr>
          <w:rFonts w:ascii="Arial" w:hAnsi="Arial" w:cs="Arial"/>
          <w:color w:val="252525"/>
          <w:sz w:val="27"/>
          <w:szCs w:val="27"/>
          <w:shd w:val="clear" w:color="auto" w:fill="FFFFFF"/>
        </w:rPr>
        <w:t xml:space="preserve"> </w:t>
      </w:r>
      <w:r w:rsidRPr="00852603">
        <w:rPr>
          <w:rFonts w:ascii="Arial" w:hAnsi="Arial" w:cs="Arial"/>
          <w:color w:val="252525"/>
          <w:sz w:val="27"/>
          <w:szCs w:val="27"/>
          <w:shd w:val="clear" w:color="auto" w:fill="FFFFFF"/>
        </w:rPr>
        <w:t xml:space="preserve">can be downloaded for the purposes of keeping track of all assets, debts, and liabilities while creating an estate plan. This document is a helpful organizational tool that should cover all the areas of a person’s </w:t>
      </w:r>
      <w:proofErr w:type="gramStart"/>
      <w:r w:rsidRPr="00852603">
        <w:rPr>
          <w:rFonts w:ascii="Arial" w:hAnsi="Arial" w:cs="Arial"/>
          <w:color w:val="252525"/>
          <w:sz w:val="27"/>
          <w:szCs w:val="27"/>
          <w:shd w:val="clear" w:color="auto" w:fill="FFFFFF"/>
        </w:rPr>
        <w:t>estate</w:t>
      </w:r>
      <w:proofErr w:type="gramEnd"/>
      <w:r w:rsidRPr="00852603">
        <w:rPr>
          <w:rFonts w:ascii="Arial" w:hAnsi="Arial" w:cs="Arial"/>
          <w:color w:val="252525"/>
          <w:sz w:val="27"/>
          <w:szCs w:val="27"/>
          <w:shd w:val="clear" w:color="auto" w:fill="FFFFFF"/>
        </w:rPr>
        <w:t xml:space="preserve"> so they don’t forget to include anything in their estate plan.</w:t>
      </w:r>
      <w:r w:rsidR="002375AE" w:rsidRPr="00852603">
        <w:rPr>
          <w:rFonts w:ascii="Arial" w:hAnsi="Arial" w:cs="Arial"/>
          <w:sz w:val="27"/>
          <w:szCs w:val="27"/>
        </w:rPr>
        <w:t xml:space="preserve"> </w:t>
      </w:r>
    </w:p>
    <w:p w14:paraId="7C37CE22" w14:textId="77777777" w:rsidR="00C4721A" w:rsidRDefault="00C4721A">
      <w:pPr>
        <w:pStyle w:val="Heading3"/>
        <w:rPr>
          <w:rStyle w:val="Strong"/>
          <w:rFonts w:ascii="Arial" w:hAnsi="Arial" w:cs="Arial"/>
          <w:b/>
          <w:bCs/>
          <w:sz w:val="32"/>
          <w:szCs w:val="32"/>
        </w:rPr>
      </w:pPr>
    </w:p>
    <w:p w14:paraId="6B7AB27C" w14:textId="046723D4"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w:t>
      </w:r>
      <w:r w:rsidR="00852603">
        <w:rPr>
          <w:rStyle w:val="Strong"/>
          <w:rFonts w:ascii="Arial" w:hAnsi="Arial" w:cs="Arial"/>
          <w:b/>
          <w:bCs/>
          <w:sz w:val="32"/>
          <w:szCs w:val="32"/>
        </w:rPr>
        <w:t xml:space="preserve">Decide Who Will Become a </w:t>
      </w:r>
      <w:r w:rsidR="002375AE">
        <w:rPr>
          <w:rStyle w:val="Strong"/>
          <w:rFonts w:ascii="Arial" w:hAnsi="Arial" w:cs="Arial"/>
          <w:b/>
          <w:bCs/>
          <w:sz w:val="32"/>
          <w:szCs w:val="32"/>
        </w:rPr>
        <w:t>Beneficiar</w:t>
      </w:r>
      <w:r w:rsidR="00852603">
        <w:rPr>
          <w:rStyle w:val="Strong"/>
          <w:rFonts w:ascii="Arial" w:hAnsi="Arial" w:cs="Arial"/>
          <w:b/>
          <w:bCs/>
          <w:sz w:val="32"/>
          <w:szCs w:val="32"/>
        </w:rPr>
        <w:t>y</w:t>
      </w:r>
    </w:p>
    <w:p w14:paraId="0EE35B79" w14:textId="77777777" w:rsidR="00C4721A" w:rsidRDefault="00C4721A">
      <w:pPr>
        <w:pStyle w:val="NormalWeb"/>
        <w:rPr>
          <w:rFonts w:ascii="Arial" w:hAnsi="Arial" w:cs="Arial"/>
          <w:sz w:val="27"/>
          <w:szCs w:val="27"/>
        </w:rPr>
      </w:pPr>
    </w:p>
    <w:p w14:paraId="5D1E338F" w14:textId="2B466CDE" w:rsidR="00FF2F8B" w:rsidRPr="00852603" w:rsidRDefault="00852603">
      <w:pPr>
        <w:pStyle w:val="NormalWeb"/>
        <w:rPr>
          <w:rFonts w:ascii="Arial" w:hAnsi="Arial" w:cs="Arial"/>
          <w:sz w:val="27"/>
          <w:szCs w:val="27"/>
          <w:lang w:val="en-CA"/>
        </w:rPr>
      </w:pPr>
      <w:r w:rsidRPr="00852603">
        <w:rPr>
          <w:rStyle w:val="Strong"/>
          <w:rFonts w:ascii="Arial" w:hAnsi="Arial" w:cs="Arial"/>
          <w:sz w:val="27"/>
          <w:szCs w:val="27"/>
        </w:rPr>
        <w:lastRenderedPageBreak/>
        <w:t>Beneficiaries</w:t>
      </w:r>
      <w:r w:rsidRPr="00852603">
        <w:rPr>
          <w:rFonts w:ascii="Arial" w:hAnsi="Arial" w:cs="Arial"/>
          <w:sz w:val="27"/>
          <w:szCs w:val="27"/>
        </w:rPr>
        <w:t xml:space="preserve"> are people or entities that will receive a portion of an estate after the principal's death. Deciding who gets what is a big decision and should be made with the utmost care. While family members and close friends are typically the selected beneficiaries of an estate, the principal can dis</w:t>
      </w:r>
      <w:r w:rsidR="006B691C" w:rsidRPr="00852603">
        <w:rPr>
          <w:rFonts w:ascii="Arial" w:hAnsi="Arial" w:cs="Arial"/>
          <w:sz w:val="27"/>
          <w:szCs w:val="27"/>
        </w:rPr>
        <w:t>0074</w:t>
      </w:r>
      <w:r w:rsidRPr="00852603">
        <w:rPr>
          <w:rFonts w:ascii="Arial" w:hAnsi="Arial" w:cs="Arial"/>
          <w:sz w:val="27"/>
          <w:szCs w:val="27"/>
        </w:rPr>
        <w:t>ribute their estate any way they see fit within the confines of the law.</w:t>
      </w:r>
      <w:r w:rsidR="002375AE" w:rsidRPr="00852603">
        <w:rPr>
          <w:rFonts w:ascii="Arial" w:hAnsi="Arial" w:cs="Arial"/>
          <w:sz w:val="27"/>
          <w:szCs w:val="27"/>
        </w:rPr>
        <w:t xml:space="preserve"> </w:t>
      </w:r>
    </w:p>
    <w:p w14:paraId="7BCDC365" w14:textId="77777777" w:rsidR="00C4721A" w:rsidRDefault="00C4721A">
      <w:pPr>
        <w:pStyle w:val="Heading3"/>
        <w:rPr>
          <w:rStyle w:val="Strong"/>
          <w:rFonts w:ascii="Arial" w:hAnsi="Arial" w:cs="Arial"/>
          <w:b/>
          <w:bCs/>
          <w:sz w:val="32"/>
          <w:szCs w:val="32"/>
        </w:rPr>
      </w:pPr>
    </w:p>
    <w:p w14:paraId="6AACE02B" w14:textId="7DD88202" w:rsidR="00FF2F8B" w:rsidRDefault="00A9662C">
      <w:pPr>
        <w:pStyle w:val="Heading3"/>
      </w:pPr>
      <w:r>
        <w:rPr>
          <w:rStyle w:val="Strong"/>
          <w:rFonts w:ascii="Arial" w:hAnsi="Arial" w:cs="Arial"/>
          <w:b/>
          <w:bCs/>
          <w:sz w:val="32"/>
          <w:szCs w:val="32"/>
        </w:rPr>
        <w:t xml:space="preserve">Step 5 - </w:t>
      </w:r>
      <w:r w:rsidR="00852603">
        <w:rPr>
          <w:rStyle w:val="Strong"/>
          <w:rFonts w:ascii="Arial" w:hAnsi="Arial" w:cs="Arial"/>
          <w:b/>
          <w:bCs/>
          <w:sz w:val="32"/>
          <w:szCs w:val="32"/>
        </w:rPr>
        <w:t xml:space="preserve">Execute a </w:t>
      </w:r>
      <w:r w:rsidR="002375AE">
        <w:rPr>
          <w:rStyle w:val="Strong"/>
          <w:rFonts w:ascii="Arial" w:hAnsi="Arial" w:cs="Arial"/>
          <w:b/>
          <w:bCs/>
          <w:sz w:val="32"/>
          <w:szCs w:val="32"/>
        </w:rPr>
        <w:t>W</w:t>
      </w:r>
      <w:r w:rsidR="00E03F02">
        <w:rPr>
          <w:rStyle w:val="Strong"/>
          <w:rFonts w:ascii="Arial" w:hAnsi="Arial" w:cs="Arial"/>
          <w:b/>
          <w:bCs/>
          <w:sz w:val="32"/>
          <w:szCs w:val="32"/>
        </w:rPr>
        <w:t>ill and</w:t>
      </w:r>
      <w:r w:rsidR="00852603">
        <w:rPr>
          <w:rStyle w:val="Strong"/>
          <w:rFonts w:ascii="Arial" w:hAnsi="Arial" w:cs="Arial"/>
          <w:b/>
          <w:bCs/>
          <w:sz w:val="32"/>
          <w:szCs w:val="32"/>
        </w:rPr>
        <w:t>/or Living</w:t>
      </w:r>
      <w:r w:rsidR="00E03F02">
        <w:rPr>
          <w:rStyle w:val="Strong"/>
          <w:rFonts w:ascii="Arial" w:hAnsi="Arial" w:cs="Arial"/>
          <w:b/>
          <w:bCs/>
          <w:sz w:val="32"/>
          <w:szCs w:val="32"/>
        </w:rPr>
        <w:t xml:space="preserve"> Trust</w:t>
      </w:r>
    </w:p>
    <w:p w14:paraId="399A1327" w14:textId="2963E391" w:rsidR="00C4721A" w:rsidRDefault="00C4721A" w:rsidP="00BA7A60">
      <w:pPr>
        <w:pStyle w:val="NormalWeb"/>
        <w:rPr>
          <w:rFonts w:ascii="Arial" w:hAnsi="Arial" w:cs="Arial"/>
          <w:sz w:val="27"/>
          <w:szCs w:val="27"/>
        </w:rPr>
      </w:pPr>
    </w:p>
    <w:p w14:paraId="5AD2C27B" w14:textId="77777777" w:rsidR="00837924" w:rsidRPr="00837924" w:rsidRDefault="00837924" w:rsidP="00837924">
      <w:pPr>
        <w:pStyle w:val="NormalWeb"/>
        <w:rPr>
          <w:rFonts w:ascii="Arial" w:hAnsi="Arial" w:cs="Arial"/>
          <w:sz w:val="27"/>
          <w:szCs w:val="27"/>
        </w:rPr>
      </w:pPr>
      <w:r w:rsidRPr="00837924">
        <w:rPr>
          <w:rFonts w:ascii="Arial" w:hAnsi="Arial" w:cs="Arial"/>
          <w:sz w:val="27"/>
          <w:szCs w:val="27"/>
        </w:rPr>
        <w:t xml:space="preserve">The two (2) main estate planning documents are Wills and Trusts. Each document covers slightly different areas of the principal's </w:t>
      </w:r>
      <w:proofErr w:type="gramStart"/>
      <w:r w:rsidRPr="00837924">
        <w:rPr>
          <w:rFonts w:ascii="Arial" w:hAnsi="Arial" w:cs="Arial"/>
          <w:sz w:val="27"/>
          <w:szCs w:val="27"/>
        </w:rPr>
        <w:t>estate,</w:t>
      </w:r>
      <w:proofErr w:type="gramEnd"/>
      <w:r w:rsidRPr="00837924">
        <w:rPr>
          <w:rFonts w:ascii="Arial" w:hAnsi="Arial" w:cs="Arial"/>
          <w:sz w:val="27"/>
          <w:szCs w:val="27"/>
        </w:rPr>
        <w:t xml:space="preserve"> therefore it is recommended that an attorney be consulted to see which tool would be most appropriate.</w:t>
      </w:r>
    </w:p>
    <w:p w14:paraId="627BD52E" w14:textId="77777777" w:rsidR="00837924" w:rsidRPr="00837924" w:rsidRDefault="00533D96" w:rsidP="00837924">
      <w:pPr>
        <w:pStyle w:val="NormalWeb"/>
        <w:rPr>
          <w:rFonts w:ascii="Arial" w:hAnsi="Arial" w:cs="Arial"/>
          <w:sz w:val="27"/>
          <w:szCs w:val="27"/>
        </w:rPr>
      </w:pPr>
      <w:hyperlink r:id="rId26" w:history="1">
        <w:r w:rsidR="00837924" w:rsidRPr="00837924">
          <w:rPr>
            <w:rStyle w:val="Hyperlink"/>
            <w:rFonts w:ascii="Arial" w:hAnsi="Arial" w:cs="Arial"/>
            <w:sz w:val="27"/>
            <w:szCs w:val="27"/>
          </w:rPr>
          <w:t>Last Will and Testament</w:t>
        </w:r>
      </w:hyperlink>
      <w:r w:rsidR="00837924" w:rsidRPr="00837924">
        <w:rPr>
          <w:rFonts w:ascii="Arial" w:hAnsi="Arial" w:cs="Arial"/>
          <w:sz w:val="27"/>
          <w:szCs w:val="27"/>
        </w:rPr>
        <w:t xml:space="preserve"> - A legal document executed by a principal (referred to as a testator) that names an executor to distribute their estate after they die. Beneficiaries are named in the Will so that the executor knows who will get what. A Will also covers provisions regarding taxes, debts, and guardianship for the testator's children. After the testator's death, the Will must be reviewed by members of probate court to ensure its validity and authenticity.</w:t>
      </w:r>
    </w:p>
    <w:p w14:paraId="43AE2026" w14:textId="77777777" w:rsidR="00837924" w:rsidRPr="00837924" w:rsidRDefault="00837924" w:rsidP="00837924">
      <w:pPr>
        <w:numPr>
          <w:ilvl w:val="0"/>
          <w:numId w:val="6"/>
        </w:numPr>
        <w:suppressAutoHyphens w:val="0"/>
        <w:autoSpaceDN/>
        <w:spacing w:before="100" w:beforeAutospacing="1" w:after="100" w:afterAutospacing="1"/>
        <w:textAlignment w:val="auto"/>
        <w:rPr>
          <w:rFonts w:ascii="Arial" w:hAnsi="Arial" w:cs="Arial"/>
          <w:sz w:val="27"/>
          <w:szCs w:val="27"/>
        </w:rPr>
      </w:pPr>
      <w:r w:rsidRPr="00837924">
        <w:rPr>
          <w:rStyle w:val="Strong"/>
          <w:rFonts w:ascii="Arial" w:hAnsi="Arial" w:cs="Arial"/>
          <w:sz w:val="27"/>
          <w:szCs w:val="27"/>
        </w:rPr>
        <w:t>Signing Requirements</w:t>
      </w:r>
      <w:r w:rsidRPr="00837924">
        <w:rPr>
          <w:rFonts w:ascii="Arial" w:hAnsi="Arial" w:cs="Arial"/>
          <w:sz w:val="27"/>
          <w:szCs w:val="27"/>
        </w:rPr>
        <w:t xml:space="preserve"> (</w:t>
      </w:r>
      <w:hyperlink r:id="rId27" w:tgtFrame="_blank" w:history="1">
        <w:r w:rsidRPr="00837924">
          <w:rPr>
            <w:rStyle w:val="Hyperlink"/>
            <w:rFonts w:ascii="Arial" w:hAnsi="Arial" w:cs="Arial"/>
            <w:sz w:val="27"/>
            <w:szCs w:val="27"/>
          </w:rPr>
          <w:t>§ 31-3.3</w:t>
        </w:r>
      </w:hyperlink>
      <w:r w:rsidRPr="00837924">
        <w:rPr>
          <w:rFonts w:ascii="Arial" w:hAnsi="Arial" w:cs="Arial"/>
          <w:sz w:val="27"/>
          <w:szCs w:val="27"/>
        </w:rPr>
        <w:t>) - A Will is only valid if signed by the principal and at least two (2) witnesses.</w:t>
      </w:r>
    </w:p>
    <w:p w14:paraId="0A1434DD" w14:textId="77777777" w:rsidR="00837924" w:rsidRPr="00837924" w:rsidRDefault="00533D96" w:rsidP="00837924">
      <w:pPr>
        <w:pStyle w:val="NormalWeb"/>
        <w:rPr>
          <w:rFonts w:ascii="Arial" w:hAnsi="Arial" w:cs="Arial"/>
          <w:sz w:val="27"/>
          <w:szCs w:val="27"/>
        </w:rPr>
      </w:pPr>
      <w:hyperlink r:id="rId28" w:history="1">
        <w:r w:rsidR="00837924" w:rsidRPr="00837924">
          <w:rPr>
            <w:rStyle w:val="Hyperlink"/>
            <w:rFonts w:ascii="Arial" w:hAnsi="Arial" w:cs="Arial"/>
            <w:sz w:val="27"/>
            <w:szCs w:val="27"/>
          </w:rPr>
          <w:t>Revocable Living Trust</w:t>
        </w:r>
      </w:hyperlink>
      <w:r w:rsidR="00837924" w:rsidRPr="00837924">
        <w:rPr>
          <w:rFonts w:ascii="Arial" w:hAnsi="Arial" w:cs="Arial"/>
          <w:sz w:val="27"/>
          <w:szCs w:val="27"/>
        </w:rPr>
        <w:t xml:space="preserve"> - Once a Revocable Living Trust document is executed by a principal, it becomes a legal entity into which assets can be placed. Once the assets are placed into the Trust, the Trust takes over ownership of said assets. This provides some protection for the principal's estate, allowing them to benefit from the assets during their lifetime but also provide instructions for distribution after they die. A trustee is named to manage the Trust (usually the grantor) and a successor trustee will take over after the grantor dies (if grantor is trustee). Beneficiaries are included in the Trust document in a similar fashion as a Will; however, they do not have to wait for probate court to confirm the legitimacy of the document. A Revocable Living Trust does not go through probate nor is it filed as public record.</w:t>
      </w:r>
    </w:p>
    <w:p w14:paraId="3F8075A0" w14:textId="6616E338" w:rsidR="004D327F" w:rsidRPr="00837924" w:rsidRDefault="00837924" w:rsidP="00837924">
      <w:pPr>
        <w:numPr>
          <w:ilvl w:val="0"/>
          <w:numId w:val="6"/>
        </w:numPr>
        <w:suppressAutoHyphens w:val="0"/>
        <w:autoSpaceDN/>
        <w:spacing w:before="100" w:beforeAutospacing="1" w:after="100" w:afterAutospacing="1"/>
        <w:textAlignment w:val="auto"/>
        <w:rPr>
          <w:rFonts w:ascii="Arial" w:hAnsi="Arial" w:cs="Arial"/>
          <w:sz w:val="27"/>
          <w:szCs w:val="27"/>
        </w:rPr>
      </w:pPr>
      <w:r w:rsidRPr="00837924">
        <w:rPr>
          <w:rStyle w:val="Strong"/>
          <w:rFonts w:ascii="Arial" w:hAnsi="Arial" w:cs="Arial"/>
          <w:sz w:val="27"/>
          <w:szCs w:val="27"/>
        </w:rPr>
        <w:t>Signing Requirements</w:t>
      </w:r>
      <w:r w:rsidRPr="00837924">
        <w:rPr>
          <w:rFonts w:ascii="Arial" w:hAnsi="Arial" w:cs="Arial"/>
          <w:sz w:val="27"/>
          <w:szCs w:val="27"/>
        </w:rPr>
        <w:t xml:space="preserve"> - Not statutorily mentioned; a Trust document is considered valid if the grantor, trustee, and successor trustee inscribe their signatures. However, it is recommended that the document be acknowledged by a notary public.</w:t>
      </w:r>
    </w:p>
    <w:p w14:paraId="5C46EA4A" w14:textId="77777777" w:rsidR="00C4721A" w:rsidRDefault="00C4721A">
      <w:pPr>
        <w:pStyle w:val="Heading3"/>
        <w:rPr>
          <w:rStyle w:val="Strong"/>
          <w:rFonts w:ascii="Arial" w:hAnsi="Arial" w:cs="Arial"/>
          <w:b/>
          <w:bCs/>
          <w:sz w:val="32"/>
          <w:szCs w:val="32"/>
        </w:rPr>
      </w:pPr>
    </w:p>
    <w:p w14:paraId="1E2D364A" w14:textId="5BE161F0" w:rsidR="00FF2F8B" w:rsidRDefault="00A9662C">
      <w:pPr>
        <w:pStyle w:val="Heading3"/>
      </w:pPr>
      <w:r>
        <w:rPr>
          <w:rStyle w:val="Strong"/>
          <w:rFonts w:ascii="Arial" w:hAnsi="Arial" w:cs="Arial"/>
          <w:b/>
          <w:bCs/>
          <w:sz w:val="32"/>
          <w:szCs w:val="32"/>
        </w:rPr>
        <w:t xml:space="preserve">Step 6 - </w:t>
      </w:r>
      <w:r w:rsidR="006F2CBC">
        <w:rPr>
          <w:rStyle w:val="Strong"/>
          <w:rFonts w:ascii="Arial" w:hAnsi="Arial" w:cs="Arial"/>
          <w:b/>
          <w:bCs/>
          <w:sz w:val="32"/>
          <w:szCs w:val="32"/>
        </w:rPr>
        <w:t>Store</w:t>
      </w:r>
      <w:r>
        <w:rPr>
          <w:rStyle w:val="Strong"/>
          <w:rFonts w:ascii="Arial" w:hAnsi="Arial" w:cs="Arial"/>
          <w:b/>
          <w:bCs/>
          <w:sz w:val="32"/>
          <w:szCs w:val="32"/>
        </w:rPr>
        <w:t xml:space="preserve"> Documents</w:t>
      </w:r>
    </w:p>
    <w:p w14:paraId="64ED54BF" w14:textId="77777777" w:rsidR="00C4721A" w:rsidRPr="00837924" w:rsidRDefault="00C4721A">
      <w:pPr>
        <w:pStyle w:val="NormalWeb"/>
        <w:rPr>
          <w:rFonts w:ascii="Arial" w:hAnsi="Arial" w:cs="Arial"/>
          <w:sz w:val="27"/>
          <w:szCs w:val="27"/>
        </w:rPr>
      </w:pPr>
    </w:p>
    <w:p w14:paraId="78DA7389" w14:textId="09994BA3" w:rsidR="00FF2F8B" w:rsidRPr="00837924" w:rsidRDefault="00837924">
      <w:pPr>
        <w:rPr>
          <w:rFonts w:ascii="Arial" w:hAnsi="Arial" w:cs="Arial"/>
          <w:sz w:val="27"/>
          <w:szCs w:val="27"/>
        </w:rPr>
      </w:pPr>
      <w:r w:rsidRPr="00837924">
        <w:rPr>
          <w:rFonts w:ascii="Arial" w:hAnsi="Arial" w:cs="Arial"/>
          <w:sz w:val="27"/>
          <w:szCs w:val="27"/>
        </w:rPr>
        <w:t xml:space="preserve">All estate planning documents should be kept in a safe, fireproof and waterproof place, preferably with a lock for extra security. A principal's spouse, attorney, agent, or other trusted representative should have copies of the documents or should be privy to the location of the original copies. Safety deposit boxes should be avoided </w:t>
      </w:r>
      <w:proofErr w:type="gramStart"/>
      <w:r w:rsidRPr="00837924">
        <w:rPr>
          <w:rFonts w:ascii="Arial" w:hAnsi="Arial" w:cs="Arial"/>
          <w:sz w:val="27"/>
          <w:szCs w:val="27"/>
        </w:rPr>
        <w:t>due to the fact that</w:t>
      </w:r>
      <w:proofErr w:type="gramEnd"/>
      <w:r w:rsidRPr="00837924">
        <w:rPr>
          <w:rFonts w:ascii="Arial" w:hAnsi="Arial" w:cs="Arial"/>
          <w:sz w:val="27"/>
          <w:szCs w:val="27"/>
        </w:rPr>
        <w:t xml:space="preserve"> a court order may be required to open them after the principal dies.</w:t>
      </w:r>
    </w:p>
    <w:sectPr w:rsidR="00FF2F8B" w:rsidRPr="00837924">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2533" w14:textId="77777777" w:rsidR="00FC1E74" w:rsidRDefault="00FC1E74">
      <w:r>
        <w:separator/>
      </w:r>
    </w:p>
  </w:endnote>
  <w:endnote w:type="continuationSeparator" w:id="0">
    <w:p w14:paraId="21977FA0" w14:textId="77777777" w:rsidR="00FC1E74" w:rsidRDefault="00F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3E31" w14:textId="77777777" w:rsidR="00FC1E74" w:rsidRDefault="00FC1E74">
      <w:r>
        <w:rPr>
          <w:color w:val="000000"/>
        </w:rPr>
        <w:separator/>
      </w:r>
    </w:p>
  </w:footnote>
  <w:footnote w:type="continuationSeparator" w:id="0">
    <w:p w14:paraId="6255152F" w14:textId="77777777" w:rsidR="00FC1E74" w:rsidRDefault="00FC1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73C6D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9211825"/>
    <w:multiLevelType w:val="multilevel"/>
    <w:tmpl w:val="CCE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45405E7"/>
    <w:multiLevelType w:val="multilevel"/>
    <w:tmpl w:val="28A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2460"/>
    <w:multiLevelType w:val="multilevel"/>
    <w:tmpl w:val="72A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662B56C8"/>
    <w:multiLevelType w:val="multilevel"/>
    <w:tmpl w:val="1D8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D175B"/>
    <w:multiLevelType w:val="multilevel"/>
    <w:tmpl w:val="8A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71F8087B"/>
    <w:multiLevelType w:val="multilevel"/>
    <w:tmpl w:val="12C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11"/>
  </w:num>
  <w:num w:numId="5">
    <w:abstractNumId w:val="4"/>
  </w:num>
  <w:num w:numId="6">
    <w:abstractNumId w:val="0"/>
  </w:num>
  <w:num w:numId="7">
    <w:abstractNumId w:val="3"/>
  </w:num>
  <w:num w:numId="8">
    <w:abstractNumId w:val="12"/>
  </w:num>
  <w:num w:numId="9">
    <w:abstractNumId w:val="6"/>
  </w:num>
  <w:num w:numId="10">
    <w:abstractNumId w:val="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B5F38"/>
    <w:rsid w:val="000B73BE"/>
    <w:rsid w:val="00176C9F"/>
    <w:rsid w:val="00195F2D"/>
    <w:rsid w:val="001A2ADD"/>
    <w:rsid w:val="001B160D"/>
    <w:rsid w:val="0020233B"/>
    <w:rsid w:val="0023237E"/>
    <w:rsid w:val="002375AE"/>
    <w:rsid w:val="00252406"/>
    <w:rsid w:val="00257375"/>
    <w:rsid w:val="00305370"/>
    <w:rsid w:val="00407C06"/>
    <w:rsid w:val="004457BE"/>
    <w:rsid w:val="004976B9"/>
    <w:rsid w:val="004D327F"/>
    <w:rsid w:val="00523DD3"/>
    <w:rsid w:val="00533D96"/>
    <w:rsid w:val="00542C37"/>
    <w:rsid w:val="005647E9"/>
    <w:rsid w:val="005739F0"/>
    <w:rsid w:val="005C527D"/>
    <w:rsid w:val="006A7801"/>
    <w:rsid w:val="006B691C"/>
    <w:rsid w:val="006F2CBC"/>
    <w:rsid w:val="006F580A"/>
    <w:rsid w:val="007B4523"/>
    <w:rsid w:val="007F56A7"/>
    <w:rsid w:val="00823C44"/>
    <w:rsid w:val="00836D17"/>
    <w:rsid w:val="00837924"/>
    <w:rsid w:val="00852603"/>
    <w:rsid w:val="008A08BE"/>
    <w:rsid w:val="008A56A8"/>
    <w:rsid w:val="008E08D9"/>
    <w:rsid w:val="0091662A"/>
    <w:rsid w:val="00944F7B"/>
    <w:rsid w:val="009C4597"/>
    <w:rsid w:val="00A6386F"/>
    <w:rsid w:val="00A9662C"/>
    <w:rsid w:val="00B921A0"/>
    <w:rsid w:val="00B97C39"/>
    <w:rsid w:val="00BA7A60"/>
    <w:rsid w:val="00C4721A"/>
    <w:rsid w:val="00C93CCF"/>
    <w:rsid w:val="00DF0D79"/>
    <w:rsid w:val="00E03F02"/>
    <w:rsid w:val="00E05495"/>
    <w:rsid w:val="00E11A9C"/>
    <w:rsid w:val="00E160DE"/>
    <w:rsid w:val="00E44E5B"/>
    <w:rsid w:val="00E64CB8"/>
    <w:rsid w:val="00F32318"/>
    <w:rsid w:val="00F4652D"/>
    <w:rsid w:val="00FC1E74"/>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 w:type="character" w:styleId="FollowedHyperlink">
    <w:name w:val="FollowedHyperlink"/>
    <w:basedOn w:val="DefaultParagraphFont"/>
    <w:uiPriority w:val="99"/>
    <w:semiHidden/>
    <w:unhideWhenUsed/>
    <w:rsid w:val="00533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543323969">
      <w:bodyDiv w:val="1"/>
      <w:marLeft w:val="0"/>
      <w:marRight w:val="0"/>
      <w:marTop w:val="0"/>
      <w:marBottom w:val="0"/>
      <w:divBdr>
        <w:top w:val="none" w:sz="0" w:space="0" w:color="auto"/>
        <w:left w:val="none" w:sz="0" w:space="0" w:color="auto"/>
        <w:bottom w:val="none" w:sz="0" w:space="0" w:color="auto"/>
        <w:right w:val="none" w:sz="0" w:space="0" w:color="auto"/>
      </w:divBdr>
    </w:div>
    <w:div w:id="1551721223">
      <w:bodyDiv w:val="1"/>
      <w:marLeft w:val="0"/>
      <w:marRight w:val="0"/>
      <w:marTop w:val="0"/>
      <w:marBottom w:val="0"/>
      <w:divBdr>
        <w:top w:val="none" w:sz="0" w:space="0" w:color="auto"/>
        <w:left w:val="none" w:sz="0" w:space="0" w:color="auto"/>
        <w:bottom w:val="none" w:sz="0" w:space="0" w:color="auto"/>
        <w:right w:val="none" w:sz="0" w:space="0" w:color="auto"/>
      </w:divBdr>
    </w:div>
    <w:div w:id="1635988185">
      <w:bodyDiv w:val="1"/>
      <w:marLeft w:val="0"/>
      <w:marRight w:val="0"/>
      <w:marTop w:val="0"/>
      <w:marBottom w:val="0"/>
      <w:divBdr>
        <w:top w:val="none" w:sz="0" w:space="0" w:color="auto"/>
        <w:left w:val="none" w:sz="0" w:space="0" w:color="auto"/>
        <w:bottom w:val="none" w:sz="0" w:space="0" w:color="auto"/>
        <w:right w:val="none" w:sz="0" w:space="0" w:color="auto"/>
      </w:divBdr>
    </w:div>
    <w:div w:id="189831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PDF/ByArticle/Chapter_32A/Article_3.pdf" TargetMode="External"/><Relationship Id="rId13" Type="http://schemas.openxmlformats.org/officeDocument/2006/relationships/hyperlink" Target="http://www.ncleg.net/EnactedLegislation/Statutes/PDF/BySection/Chapter_32C/GS_32C-2-206.pdf" TargetMode="External"/><Relationship Id="rId18" Type="http://schemas.openxmlformats.org/officeDocument/2006/relationships/hyperlink" Target="http://www.ncleg.net/EnactedLegislation/Statutes/PDF/BySection/Chapter_32C/GS_32C-2-211.pdf" TargetMode="External"/><Relationship Id="rId26" Type="http://schemas.openxmlformats.org/officeDocument/2006/relationships/hyperlink" Target="https://eforms.com/wills/north-carolina-last-will-and-testament-template/" TargetMode="External"/><Relationship Id="rId3" Type="http://schemas.openxmlformats.org/officeDocument/2006/relationships/settings" Target="settings.xml"/><Relationship Id="rId21" Type="http://schemas.openxmlformats.org/officeDocument/2006/relationships/hyperlink" Target="http://www.ncleg.net/EnactedLegislation/Statutes/PDF/BySection/Chapter_32C/GS_32C-2-214.pdf" TargetMode="External"/><Relationship Id="rId7" Type="http://schemas.openxmlformats.org/officeDocument/2006/relationships/hyperlink" Target="https://eforms.com/power-of-attorney/nc/north-carolina-health-care-power-of-attorney/" TargetMode="External"/><Relationship Id="rId12" Type="http://schemas.openxmlformats.org/officeDocument/2006/relationships/hyperlink" Target="http://www.ncleg.net/EnactedLegislation/Statutes/PDF/BySection/Chapter_32C/GS_32C-2-205.pdf" TargetMode="External"/><Relationship Id="rId17" Type="http://schemas.openxmlformats.org/officeDocument/2006/relationships/hyperlink" Target="http://www.ncleg.net/EnactedLegislation/Statutes/PDF/BySection/Chapter_32C/GS_32C-2-210.pdf" TargetMode="External"/><Relationship Id="rId25" Type="http://schemas.openxmlformats.org/officeDocument/2006/relationships/hyperlink" Target="https://eforms.com/estate-planning/current-assets-list/" TargetMode="External"/><Relationship Id="rId2" Type="http://schemas.openxmlformats.org/officeDocument/2006/relationships/styles" Target="styles.xml"/><Relationship Id="rId16" Type="http://schemas.openxmlformats.org/officeDocument/2006/relationships/hyperlink" Target="http://www.ncleg.net/EnactedLegislation/Statutes/PDF/BySection/Chapter_32C/GS_32C-2-209.pdf" TargetMode="External"/><Relationship Id="rId20" Type="http://schemas.openxmlformats.org/officeDocument/2006/relationships/hyperlink" Target="http://www.ncleg.net/EnactedLegislation/Statutes/PDF/BySection/Chapter_32C/GS_32C-2-213.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eg.net/EnactedLegislation/Statutes/PDF/BySection/Chapter_32C/GS_32C-2-204.pdf" TargetMode="External"/><Relationship Id="rId24" Type="http://schemas.openxmlformats.org/officeDocument/2006/relationships/hyperlink" Target="http://www.ncleg.net/EnactedLegislation/Statutes/PDF/BySection/Chapter_32C/GS_32C-2-217.pdf" TargetMode="External"/><Relationship Id="rId5" Type="http://schemas.openxmlformats.org/officeDocument/2006/relationships/footnotes" Target="footnotes.xml"/><Relationship Id="rId15" Type="http://schemas.openxmlformats.org/officeDocument/2006/relationships/hyperlink" Target="http://www.ncleg.net/EnactedLegislation/Statutes/PDF/BySection/Chapter_32C/GS_32C-2-208.pdf" TargetMode="External"/><Relationship Id="rId23" Type="http://schemas.openxmlformats.org/officeDocument/2006/relationships/hyperlink" Target="http://www.ncleg.net/EnactedLegislation/Statutes/PDF/BySection/Chapter_32C/GS_32C-2-216.pdf" TargetMode="External"/><Relationship Id="rId28" Type="http://schemas.openxmlformats.org/officeDocument/2006/relationships/hyperlink" Target="https://eforms.com/living-trust/nc/north-carolina-revocable-living-trust-form/" TargetMode="External"/><Relationship Id="rId10" Type="http://schemas.openxmlformats.org/officeDocument/2006/relationships/hyperlink" Target="https://www.ncleg.net/EnactedLegislation/Statutes/PDF/BySection/Chapter_32C/GS_32C-1-105.pdf" TargetMode="External"/><Relationship Id="rId19" Type="http://schemas.openxmlformats.org/officeDocument/2006/relationships/hyperlink" Target="http://www.ncleg.net/EnactedLegislation/Statutes/PDF/BySection/Chapter_32C/GS_32C-2-21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orms.com/power-of-attorney/nc/north-carolina-durable-power-of-attorney/" TargetMode="External"/><Relationship Id="rId14" Type="http://schemas.openxmlformats.org/officeDocument/2006/relationships/hyperlink" Target="http://www.ncleg.net/EnactedLegislation/Statutes/PDF/BySection/Chapter_32C/GS_32C-2-207.pdf" TargetMode="External"/><Relationship Id="rId22" Type="http://schemas.openxmlformats.org/officeDocument/2006/relationships/hyperlink" Target="http://www.ncleg.net/EnactedLegislation/Statutes/PDF/BySection/Chapter_32C/GS_32C-2-215.pdf" TargetMode="External"/><Relationship Id="rId27" Type="http://schemas.openxmlformats.org/officeDocument/2006/relationships/hyperlink" Target="https://www.ncleg.net/EnactedLegislation/Statutes/PDF/BySection/Chapter_31/GS_31-3.3.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5</cp:revision>
  <dcterms:created xsi:type="dcterms:W3CDTF">2019-01-06T19:42:00Z</dcterms:created>
  <dcterms:modified xsi:type="dcterms:W3CDTF">2019-01-07T21:49:00Z</dcterms:modified>
</cp:coreProperties>
</file>