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F3B78" w14:textId="7BA40217" w:rsidR="00DD42A0" w:rsidRDefault="00DD42A0" w:rsidP="00DD42A0">
      <w:pPr>
        <w:spacing w:after="240"/>
        <w:jc w:val="center"/>
        <w:rPr>
          <w:rFonts w:ascii="Arial" w:hAnsi="Arial" w:cs="Arial"/>
          <w:b/>
          <w:bCs/>
          <w:sz w:val="36"/>
          <w:szCs w:val="36"/>
          <w:lang w:eastAsia="zh-CN"/>
        </w:rPr>
      </w:pPr>
      <w:r w:rsidRPr="00DD42A0">
        <w:rPr>
          <w:rFonts w:ascii="Arial" w:hAnsi="Arial" w:cs="Arial"/>
          <w:b/>
          <w:bCs/>
          <w:sz w:val="36"/>
          <w:szCs w:val="36"/>
          <w:lang w:eastAsia="zh-CN"/>
        </w:rPr>
        <w:t>CALIFORNIA ESTATE PLANNING CHECKLIST</w:t>
      </w:r>
    </w:p>
    <w:p w14:paraId="5DF11507" w14:textId="77777777" w:rsidR="00DD42A0" w:rsidRPr="00DD42A0" w:rsidRDefault="00DD42A0" w:rsidP="00DD42A0">
      <w:pPr>
        <w:spacing w:after="240"/>
        <w:jc w:val="center"/>
        <w:rPr>
          <w:rFonts w:ascii="Arial" w:hAnsi="Arial" w:cs="Arial"/>
          <w:b/>
          <w:bCs/>
          <w:sz w:val="10"/>
          <w:szCs w:val="10"/>
          <w:lang w:eastAsia="zh-CN"/>
        </w:rPr>
      </w:pPr>
    </w:p>
    <w:p w14:paraId="176DE115" w14:textId="77777777" w:rsidR="00DD42A0" w:rsidRPr="00DD42A0" w:rsidRDefault="00DD42A0" w:rsidP="00DD42A0">
      <w:pPr>
        <w:spacing w:before="200" w:after="200"/>
        <w:rPr>
          <w:rFonts w:ascii="Arial" w:hAnsi="Arial" w:cs="Arial"/>
          <w:sz w:val="27"/>
          <w:szCs w:val="27"/>
          <w:lang w:eastAsia="zh-CN"/>
        </w:rPr>
      </w:pPr>
      <w:r w:rsidRPr="00DD42A0">
        <w:rPr>
          <w:rFonts w:ascii="Arial" w:hAnsi="Arial" w:cs="Arial"/>
          <w:sz w:val="27"/>
          <w:szCs w:val="27"/>
          <w:lang w:eastAsia="zh-CN"/>
        </w:rPr>
        <w:t>The information available in the guide below can be used to adequately prepare an estate before death and ensure that one’s best interests are protected in medical emergencies resulting in incapacity. Before completing any paperwork provided in the checklist, the estate owner (a.k.a. the “principal”) is encouraged to seek legal counsel to determine whether the documents are well suited for their lifestyle and financial needs.</w:t>
      </w:r>
    </w:p>
    <w:p w14:paraId="6D60B0ED" w14:textId="77777777" w:rsidR="00DD42A0" w:rsidRPr="00DD42A0" w:rsidRDefault="00DD42A0" w:rsidP="00DD42A0">
      <w:pPr>
        <w:spacing w:before="200" w:after="200" w:line="360" w:lineRule="atLeast"/>
        <w:outlineLvl w:val="2"/>
        <w:rPr>
          <w:rFonts w:ascii="Arial" w:eastAsia="Times New Roman" w:hAnsi="Arial" w:cs="Arial"/>
          <w:sz w:val="32"/>
          <w:szCs w:val="32"/>
          <w:lang w:eastAsia="zh-CN"/>
        </w:rPr>
      </w:pPr>
      <w:r w:rsidRPr="00DD42A0">
        <w:rPr>
          <w:rFonts w:ascii="Arial" w:eastAsia="Times New Roman" w:hAnsi="Arial" w:cs="Arial"/>
          <w:b/>
          <w:bCs/>
          <w:sz w:val="32"/>
          <w:szCs w:val="32"/>
          <w:lang w:eastAsia="zh-CN"/>
        </w:rPr>
        <w:t>Step 1 – Define Medical Requests</w:t>
      </w:r>
    </w:p>
    <w:p w14:paraId="31706D2F" w14:textId="77777777" w:rsidR="00DD42A0" w:rsidRPr="00DD42A0" w:rsidRDefault="00DD42A0" w:rsidP="00DD42A0">
      <w:pPr>
        <w:spacing w:before="200" w:after="200"/>
        <w:rPr>
          <w:rFonts w:ascii="Arial" w:hAnsi="Arial" w:cs="Arial"/>
          <w:sz w:val="27"/>
          <w:szCs w:val="27"/>
          <w:lang w:eastAsia="zh-CN"/>
        </w:rPr>
      </w:pPr>
      <w:r w:rsidRPr="00DD42A0">
        <w:rPr>
          <w:rFonts w:ascii="Arial" w:hAnsi="Arial" w:cs="Arial"/>
          <w:sz w:val="27"/>
          <w:szCs w:val="27"/>
          <w:lang w:eastAsia="zh-CN"/>
        </w:rPr>
        <w:t>It is imperative that the principal defines the medical treatment they wish to receive upon the occurrence of a condition that prevents them from making their own decisions. Part of preparing for such situations requires the selection of a </w:t>
      </w:r>
      <w:r w:rsidRPr="00DD42A0">
        <w:rPr>
          <w:rFonts w:ascii="Arial" w:hAnsi="Arial" w:cs="Arial"/>
          <w:b/>
          <w:bCs/>
          <w:sz w:val="27"/>
          <w:szCs w:val="27"/>
          <w:lang w:eastAsia="zh-CN"/>
        </w:rPr>
        <w:t>health care agent </w:t>
      </w:r>
      <w:r w:rsidRPr="00DD42A0">
        <w:rPr>
          <w:rFonts w:ascii="Arial" w:hAnsi="Arial" w:cs="Arial"/>
          <w:sz w:val="27"/>
          <w:szCs w:val="27"/>
          <w:lang w:eastAsia="zh-CN"/>
        </w:rPr>
        <w:t>who will act on the principal’s behalf and communicate their health care requests. To officially appoint a health care agent, the principal will need to complete an Advanced Health Care Directive which includes a Medical Power of Attorney.</w:t>
      </w:r>
    </w:p>
    <w:p w14:paraId="41196BEE" w14:textId="77777777" w:rsidR="00DD42A0" w:rsidRPr="00DD42A0" w:rsidRDefault="00DD42A0" w:rsidP="00DD42A0">
      <w:pPr>
        <w:spacing w:before="200" w:after="200"/>
        <w:rPr>
          <w:rFonts w:ascii="Arial" w:hAnsi="Arial" w:cs="Arial"/>
          <w:sz w:val="27"/>
          <w:szCs w:val="27"/>
          <w:lang w:eastAsia="zh-CN"/>
        </w:rPr>
      </w:pPr>
      <w:hyperlink r:id="rId7" w:history="1">
        <w:r w:rsidRPr="00DD42A0">
          <w:rPr>
            <w:rFonts w:ascii="Arial" w:hAnsi="Arial" w:cs="Arial"/>
            <w:color w:val="008CDD"/>
            <w:sz w:val="27"/>
            <w:szCs w:val="27"/>
            <w:u w:val="single"/>
            <w:lang w:eastAsia="zh-CN"/>
          </w:rPr>
          <w:t>Medical Power of Attorney (Advanced Health Care Directive)</w:t>
        </w:r>
      </w:hyperlink>
      <w:r w:rsidRPr="00DD42A0">
        <w:rPr>
          <w:rFonts w:ascii="Arial" w:hAnsi="Arial" w:cs="Arial"/>
          <w:sz w:val="27"/>
          <w:szCs w:val="27"/>
          <w:lang w:eastAsia="zh-CN"/>
        </w:rPr>
        <w:t> – Allows the principal to choose a health care agent and specify additional preferences relating to end-of-life decisions.</w:t>
      </w:r>
    </w:p>
    <w:p w14:paraId="074E6AB9" w14:textId="77777777" w:rsidR="00DD42A0" w:rsidRPr="00DD42A0" w:rsidRDefault="00DD42A0" w:rsidP="00DD42A0">
      <w:pPr>
        <w:numPr>
          <w:ilvl w:val="0"/>
          <w:numId w:val="1"/>
        </w:numPr>
        <w:spacing w:before="200" w:after="200" w:line="300" w:lineRule="atLeast"/>
        <w:ind w:left="375"/>
        <w:rPr>
          <w:rFonts w:ascii="Arial" w:eastAsia="Times New Roman" w:hAnsi="Arial" w:cs="Arial"/>
          <w:sz w:val="27"/>
          <w:szCs w:val="27"/>
          <w:lang w:eastAsia="zh-CN"/>
        </w:rPr>
      </w:pPr>
      <w:r w:rsidRPr="00DD42A0">
        <w:rPr>
          <w:rFonts w:ascii="Arial" w:eastAsia="Times New Roman" w:hAnsi="Arial" w:cs="Arial"/>
          <w:b/>
          <w:bCs/>
          <w:sz w:val="27"/>
          <w:szCs w:val="27"/>
          <w:lang w:eastAsia="zh-CN"/>
        </w:rPr>
        <w:t>Signing Requirements </w:t>
      </w:r>
      <w:r w:rsidRPr="00DD42A0">
        <w:rPr>
          <w:rFonts w:ascii="Arial" w:eastAsia="Times New Roman" w:hAnsi="Arial" w:cs="Arial"/>
          <w:sz w:val="27"/>
          <w:szCs w:val="27"/>
          <w:lang w:eastAsia="zh-CN"/>
        </w:rPr>
        <w:t>(</w:t>
      </w:r>
      <w:hyperlink r:id="rId8" w:tgtFrame="_blank" w:history="1">
        <w:r w:rsidRPr="00DD42A0">
          <w:rPr>
            <w:rFonts w:ascii="Arial" w:eastAsia="Times New Roman" w:hAnsi="Arial" w:cs="Arial"/>
            <w:color w:val="008CDD"/>
            <w:sz w:val="27"/>
            <w:szCs w:val="27"/>
            <w:u w:val="single"/>
            <w:lang w:eastAsia="zh-CN"/>
          </w:rPr>
          <w:t>§ 4673</w:t>
        </w:r>
      </w:hyperlink>
      <w:r w:rsidRPr="00DD42A0">
        <w:rPr>
          <w:rFonts w:ascii="Arial" w:eastAsia="Times New Roman" w:hAnsi="Arial" w:cs="Arial"/>
          <w:sz w:val="27"/>
          <w:szCs w:val="27"/>
          <w:lang w:eastAsia="zh-CN"/>
        </w:rPr>
        <w:t>) – Must be signed by the principal and either acknowledged in the presence of a notary public or signed by two (2) or more witnesses who meet the requirements set forth in </w:t>
      </w:r>
      <w:hyperlink r:id="rId9" w:tgtFrame="_blank" w:history="1">
        <w:r w:rsidRPr="00DD42A0">
          <w:rPr>
            <w:rFonts w:ascii="Arial" w:eastAsia="Times New Roman" w:hAnsi="Arial" w:cs="Arial"/>
            <w:color w:val="008CDD"/>
            <w:sz w:val="27"/>
            <w:szCs w:val="27"/>
            <w:u w:val="single"/>
            <w:lang w:eastAsia="zh-CN"/>
          </w:rPr>
          <w:t>§ 4674</w:t>
        </w:r>
      </w:hyperlink>
      <w:r w:rsidRPr="00DD42A0">
        <w:rPr>
          <w:rFonts w:ascii="Arial" w:eastAsia="Times New Roman" w:hAnsi="Arial" w:cs="Arial"/>
          <w:sz w:val="27"/>
          <w:szCs w:val="27"/>
          <w:lang w:eastAsia="zh-CN"/>
        </w:rPr>
        <w:t>.</w:t>
      </w:r>
    </w:p>
    <w:p w14:paraId="6660E5D7" w14:textId="77777777" w:rsidR="00DD42A0" w:rsidRPr="00DD42A0" w:rsidRDefault="00DD42A0" w:rsidP="00DD42A0">
      <w:pPr>
        <w:spacing w:before="200" w:after="200" w:line="360" w:lineRule="atLeast"/>
        <w:outlineLvl w:val="2"/>
        <w:rPr>
          <w:rFonts w:ascii="Arial" w:eastAsia="Times New Roman" w:hAnsi="Arial" w:cs="Arial"/>
          <w:sz w:val="32"/>
          <w:szCs w:val="32"/>
          <w:lang w:eastAsia="zh-CN"/>
        </w:rPr>
      </w:pPr>
      <w:r w:rsidRPr="00DD42A0">
        <w:rPr>
          <w:rFonts w:ascii="Arial" w:eastAsia="Times New Roman" w:hAnsi="Arial" w:cs="Arial"/>
          <w:b/>
          <w:bCs/>
          <w:sz w:val="32"/>
          <w:szCs w:val="32"/>
          <w:lang w:eastAsia="zh-CN"/>
        </w:rPr>
        <w:t>Step 2 – Establish Financial Preferences</w:t>
      </w:r>
    </w:p>
    <w:p w14:paraId="2E5E5082" w14:textId="77777777" w:rsidR="00DD42A0" w:rsidRPr="00DD42A0" w:rsidRDefault="00DD42A0" w:rsidP="00DD42A0">
      <w:pPr>
        <w:spacing w:before="200" w:after="200"/>
        <w:rPr>
          <w:rFonts w:ascii="Arial" w:hAnsi="Arial" w:cs="Arial"/>
          <w:sz w:val="27"/>
          <w:szCs w:val="27"/>
          <w:lang w:eastAsia="zh-CN"/>
        </w:rPr>
      </w:pPr>
      <w:r w:rsidRPr="00DD42A0">
        <w:rPr>
          <w:rFonts w:ascii="Arial" w:hAnsi="Arial" w:cs="Arial"/>
          <w:sz w:val="27"/>
          <w:szCs w:val="27"/>
          <w:lang w:eastAsia="zh-CN"/>
        </w:rPr>
        <w:t>To ensure that one’s financial interests are cared for during medical emergencies, residents must appoint a </w:t>
      </w:r>
      <w:r w:rsidRPr="00DD42A0">
        <w:rPr>
          <w:rFonts w:ascii="Arial" w:hAnsi="Arial" w:cs="Arial"/>
          <w:b/>
          <w:bCs/>
          <w:sz w:val="27"/>
          <w:szCs w:val="27"/>
          <w:lang w:eastAsia="zh-CN"/>
        </w:rPr>
        <w:t>financial agent </w:t>
      </w:r>
      <w:r w:rsidRPr="00DD42A0">
        <w:rPr>
          <w:rFonts w:ascii="Arial" w:hAnsi="Arial" w:cs="Arial"/>
          <w:sz w:val="27"/>
          <w:szCs w:val="27"/>
          <w:lang w:eastAsia="zh-CN"/>
        </w:rPr>
        <w:t>via the completion of a Durable (Financial) Power of Attorney. The financial agent is an individual that acts on behalf of the principal and handles their financial affairs. If the principal becomes incapacitated, the agent may pay the principal’s taxes, manage real estate, conduct business transactions, and otherwise execute the principal’s financial preferences.</w:t>
      </w:r>
    </w:p>
    <w:p w14:paraId="7343582D" w14:textId="77777777" w:rsidR="00DD42A0" w:rsidRPr="00DD42A0" w:rsidRDefault="00DD42A0" w:rsidP="00DD42A0">
      <w:pPr>
        <w:spacing w:before="200" w:after="200"/>
        <w:rPr>
          <w:rFonts w:ascii="Arial" w:hAnsi="Arial" w:cs="Arial"/>
          <w:sz w:val="27"/>
          <w:szCs w:val="27"/>
          <w:lang w:eastAsia="zh-CN"/>
        </w:rPr>
      </w:pPr>
      <w:hyperlink r:id="rId10" w:history="1">
        <w:r w:rsidRPr="00DD42A0">
          <w:rPr>
            <w:rFonts w:ascii="Arial" w:hAnsi="Arial" w:cs="Arial"/>
            <w:color w:val="008CDD"/>
            <w:sz w:val="27"/>
            <w:szCs w:val="27"/>
            <w:u w:val="single"/>
            <w:lang w:eastAsia="zh-CN"/>
          </w:rPr>
          <w:t>Durable (Financial) Power of Attorney</w:t>
        </w:r>
      </w:hyperlink>
      <w:r w:rsidRPr="00DD42A0">
        <w:rPr>
          <w:rFonts w:ascii="Arial" w:hAnsi="Arial" w:cs="Arial"/>
          <w:sz w:val="27"/>
          <w:szCs w:val="27"/>
          <w:lang w:eastAsia="zh-CN"/>
        </w:rPr>
        <w:t> – A legal document used by the principal to appoint their financial agent and designate the financial authority bestowed upon the individual.</w:t>
      </w:r>
    </w:p>
    <w:p w14:paraId="799AA517" w14:textId="77777777" w:rsidR="00DD42A0" w:rsidRPr="00DD42A0" w:rsidRDefault="00DD42A0" w:rsidP="00DD42A0">
      <w:pPr>
        <w:numPr>
          <w:ilvl w:val="0"/>
          <w:numId w:val="2"/>
        </w:numPr>
        <w:spacing w:before="200" w:after="200" w:line="300" w:lineRule="atLeast"/>
        <w:ind w:left="375"/>
        <w:rPr>
          <w:rFonts w:ascii="Arial" w:eastAsia="Times New Roman" w:hAnsi="Arial" w:cs="Arial"/>
          <w:sz w:val="27"/>
          <w:szCs w:val="27"/>
          <w:lang w:eastAsia="zh-CN"/>
        </w:rPr>
      </w:pPr>
      <w:r w:rsidRPr="00DD42A0">
        <w:rPr>
          <w:rFonts w:ascii="Arial" w:eastAsia="Times New Roman" w:hAnsi="Arial" w:cs="Arial"/>
          <w:b/>
          <w:bCs/>
          <w:sz w:val="27"/>
          <w:szCs w:val="27"/>
          <w:lang w:eastAsia="zh-CN"/>
        </w:rPr>
        <w:lastRenderedPageBreak/>
        <w:t>Signing Requirements </w:t>
      </w:r>
      <w:r w:rsidRPr="00DD42A0">
        <w:rPr>
          <w:rFonts w:ascii="Arial" w:eastAsia="Times New Roman" w:hAnsi="Arial" w:cs="Arial"/>
          <w:sz w:val="27"/>
          <w:szCs w:val="27"/>
          <w:lang w:eastAsia="zh-CN"/>
        </w:rPr>
        <w:t>(</w:t>
      </w:r>
      <w:hyperlink r:id="rId11" w:tgtFrame="_blank" w:history="1">
        <w:r w:rsidRPr="00DD42A0">
          <w:rPr>
            <w:rFonts w:ascii="Arial" w:eastAsia="Times New Roman" w:hAnsi="Arial" w:cs="Arial"/>
            <w:color w:val="008CDD"/>
            <w:sz w:val="27"/>
            <w:szCs w:val="27"/>
            <w:u w:val="single"/>
            <w:lang w:eastAsia="zh-CN"/>
          </w:rPr>
          <w:t>§ 4121</w:t>
        </w:r>
      </w:hyperlink>
      <w:r w:rsidRPr="00DD42A0">
        <w:rPr>
          <w:rFonts w:ascii="Arial" w:eastAsia="Times New Roman" w:hAnsi="Arial" w:cs="Arial"/>
          <w:sz w:val="27"/>
          <w:szCs w:val="27"/>
          <w:lang w:eastAsia="zh-CN"/>
        </w:rPr>
        <w:t>) – The principal’s signature must either be acknowledged before a notary public or witnessed by two (2) or more individuals who meet the qualifications set forth in </w:t>
      </w:r>
      <w:hyperlink r:id="rId12" w:tgtFrame="_blank" w:history="1">
        <w:r w:rsidRPr="00DD42A0">
          <w:rPr>
            <w:rFonts w:ascii="Arial" w:eastAsia="Times New Roman" w:hAnsi="Arial" w:cs="Arial"/>
            <w:color w:val="008CDD"/>
            <w:sz w:val="27"/>
            <w:szCs w:val="27"/>
            <w:u w:val="single"/>
            <w:lang w:eastAsia="zh-CN"/>
          </w:rPr>
          <w:t>§ 4122</w:t>
        </w:r>
      </w:hyperlink>
      <w:r w:rsidRPr="00DD42A0">
        <w:rPr>
          <w:rFonts w:ascii="Arial" w:eastAsia="Times New Roman" w:hAnsi="Arial" w:cs="Arial"/>
          <w:sz w:val="27"/>
          <w:szCs w:val="27"/>
          <w:lang w:eastAsia="zh-CN"/>
        </w:rPr>
        <w:t> (if witnessed, the individuals must also sign the power of attorney).</w:t>
      </w:r>
    </w:p>
    <w:p w14:paraId="3CBC4F2E" w14:textId="77777777" w:rsidR="00DD42A0" w:rsidRPr="00DD42A0" w:rsidRDefault="00DD42A0" w:rsidP="00DD42A0">
      <w:pPr>
        <w:rPr>
          <w:rFonts w:ascii="Arial" w:hAnsi="Arial" w:cs="Arial"/>
          <w:sz w:val="27"/>
          <w:szCs w:val="27"/>
          <w:lang w:eastAsia="zh-CN"/>
        </w:rPr>
      </w:pPr>
      <w:r w:rsidRPr="00DD42A0">
        <w:rPr>
          <w:rFonts w:ascii="Arial" w:hAnsi="Arial" w:cs="Arial"/>
          <w:b/>
          <w:bCs/>
          <w:sz w:val="27"/>
          <w:szCs w:val="27"/>
          <w:lang w:eastAsia="zh-CN"/>
        </w:rPr>
        <w:t>Financial Powers Allowed</w:t>
      </w:r>
    </w:p>
    <w:p w14:paraId="1F3659E0"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Real Property (</w:t>
      </w:r>
      <w:hyperlink r:id="rId13" w:tgtFrame="_blank" w:history="1">
        <w:r w:rsidRPr="00DD42A0">
          <w:rPr>
            <w:rFonts w:ascii="Arial" w:eastAsia="Times New Roman" w:hAnsi="Arial" w:cs="Arial"/>
            <w:color w:val="008CDD"/>
            <w:sz w:val="27"/>
            <w:szCs w:val="27"/>
            <w:u w:val="single"/>
            <w:lang w:eastAsia="zh-CN"/>
          </w:rPr>
          <w:t>§ 4451</w:t>
        </w:r>
      </w:hyperlink>
      <w:r w:rsidRPr="00DD42A0">
        <w:rPr>
          <w:rFonts w:ascii="Arial" w:eastAsia="Times New Roman" w:hAnsi="Arial" w:cs="Arial"/>
          <w:sz w:val="27"/>
          <w:szCs w:val="27"/>
          <w:lang w:eastAsia="zh-CN"/>
        </w:rPr>
        <w:t>);</w:t>
      </w:r>
    </w:p>
    <w:p w14:paraId="0322A8C4"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Tangible Personal Property (</w:t>
      </w:r>
      <w:hyperlink r:id="rId14" w:tgtFrame="_blank" w:history="1">
        <w:r w:rsidRPr="00DD42A0">
          <w:rPr>
            <w:rFonts w:ascii="Arial" w:eastAsia="Times New Roman" w:hAnsi="Arial" w:cs="Arial"/>
            <w:color w:val="008CDD"/>
            <w:sz w:val="27"/>
            <w:szCs w:val="27"/>
            <w:u w:val="single"/>
            <w:lang w:eastAsia="zh-CN"/>
          </w:rPr>
          <w:t>§ 4452</w:t>
        </w:r>
      </w:hyperlink>
      <w:r w:rsidRPr="00DD42A0">
        <w:rPr>
          <w:rFonts w:ascii="Arial" w:eastAsia="Times New Roman" w:hAnsi="Arial" w:cs="Arial"/>
          <w:sz w:val="27"/>
          <w:szCs w:val="27"/>
          <w:lang w:eastAsia="zh-CN"/>
        </w:rPr>
        <w:t>);</w:t>
      </w:r>
    </w:p>
    <w:p w14:paraId="63B11821"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Stocks and Bonds (</w:t>
      </w:r>
      <w:hyperlink r:id="rId15" w:tgtFrame="_blank" w:history="1">
        <w:r w:rsidRPr="00DD42A0">
          <w:rPr>
            <w:rFonts w:ascii="Arial" w:eastAsia="Times New Roman" w:hAnsi="Arial" w:cs="Arial"/>
            <w:color w:val="008CDD"/>
            <w:sz w:val="27"/>
            <w:szCs w:val="27"/>
            <w:u w:val="single"/>
            <w:lang w:eastAsia="zh-CN"/>
          </w:rPr>
          <w:t>§ 4453</w:t>
        </w:r>
      </w:hyperlink>
      <w:r w:rsidRPr="00DD42A0">
        <w:rPr>
          <w:rFonts w:ascii="Arial" w:eastAsia="Times New Roman" w:hAnsi="Arial" w:cs="Arial"/>
          <w:sz w:val="27"/>
          <w:szCs w:val="27"/>
          <w:lang w:eastAsia="zh-CN"/>
        </w:rPr>
        <w:t>):</w:t>
      </w:r>
    </w:p>
    <w:p w14:paraId="1BF79B49"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Commodity and Options (</w:t>
      </w:r>
      <w:hyperlink r:id="rId16" w:tgtFrame="_blank" w:history="1">
        <w:r w:rsidRPr="00DD42A0">
          <w:rPr>
            <w:rFonts w:ascii="Arial" w:eastAsia="Times New Roman" w:hAnsi="Arial" w:cs="Arial"/>
            <w:color w:val="008CDD"/>
            <w:sz w:val="27"/>
            <w:szCs w:val="27"/>
            <w:u w:val="single"/>
            <w:lang w:eastAsia="zh-CN"/>
          </w:rPr>
          <w:t>§ 4454</w:t>
        </w:r>
      </w:hyperlink>
      <w:r w:rsidRPr="00DD42A0">
        <w:rPr>
          <w:rFonts w:ascii="Arial" w:eastAsia="Times New Roman" w:hAnsi="Arial" w:cs="Arial"/>
          <w:sz w:val="27"/>
          <w:szCs w:val="27"/>
          <w:lang w:eastAsia="zh-CN"/>
        </w:rPr>
        <w:t>);</w:t>
      </w:r>
    </w:p>
    <w:p w14:paraId="050CFC37"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Banking and Other Financial Institutions (</w:t>
      </w:r>
      <w:hyperlink r:id="rId17" w:tgtFrame="_blank" w:history="1">
        <w:r w:rsidRPr="00DD42A0">
          <w:rPr>
            <w:rFonts w:ascii="Arial" w:eastAsia="Times New Roman" w:hAnsi="Arial" w:cs="Arial"/>
            <w:color w:val="008CDD"/>
            <w:sz w:val="27"/>
            <w:szCs w:val="27"/>
            <w:u w:val="single"/>
            <w:lang w:eastAsia="zh-CN"/>
          </w:rPr>
          <w:t>§ 4455</w:t>
        </w:r>
      </w:hyperlink>
      <w:r w:rsidRPr="00DD42A0">
        <w:rPr>
          <w:rFonts w:ascii="Arial" w:eastAsia="Times New Roman" w:hAnsi="Arial" w:cs="Arial"/>
          <w:sz w:val="27"/>
          <w:szCs w:val="27"/>
          <w:lang w:eastAsia="zh-CN"/>
        </w:rPr>
        <w:t>);</w:t>
      </w:r>
    </w:p>
    <w:p w14:paraId="5E348266"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Business Operating Transactions (</w:t>
      </w:r>
      <w:hyperlink r:id="rId18" w:tgtFrame="_blank" w:history="1">
        <w:r w:rsidRPr="00DD42A0">
          <w:rPr>
            <w:rFonts w:ascii="Arial" w:eastAsia="Times New Roman" w:hAnsi="Arial" w:cs="Arial"/>
            <w:color w:val="008CDD"/>
            <w:sz w:val="27"/>
            <w:szCs w:val="27"/>
            <w:u w:val="single"/>
            <w:lang w:eastAsia="zh-CN"/>
          </w:rPr>
          <w:t>§ 4456</w:t>
        </w:r>
      </w:hyperlink>
      <w:r w:rsidRPr="00DD42A0">
        <w:rPr>
          <w:rFonts w:ascii="Arial" w:eastAsia="Times New Roman" w:hAnsi="Arial" w:cs="Arial"/>
          <w:sz w:val="27"/>
          <w:szCs w:val="27"/>
          <w:lang w:eastAsia="zh-CN"/>
        </w:rPr>
        <w:t>);</w:t>
      </w:r>
    </w:p>
    <w:p w14:paraId="1F7B7AA4"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Insurance and Annuity (</w:t>
      </w:r>
      <w:hyperlink r:id="rId19" w:tgtFrame="_blank" w:history="1">
        <w:r w:rsidRPr="00DD42A0">
          <w:rPr>
            <w:rFonts w:ascii="Arial" w:eastAsia="Times New Roman" w:hAnsi="Arial" w:cs="Arial"/>
            <w:color w:val="008CDD"/>
            <w:sz w:val="27"/>
            <w:szCs w:val="27"/>
            <w:u w:val="single"/>
            <w:lang w:eastAsia="zh-CN"/>
          </w:rPr>
          <w:t>§ 4457</w:t>
        </w:r>
      </w:hyperlink>
      <w:r w:rsidRPr="00DD42A0">
        <w:rPr>
          <w:rFonts w:ascii="Arial" w:eastAsia="Times New Roman" w:hAnsi="Arial" w:cs="Arial"/>
          <w:sz w:val="27"/>
          <w:szCs w:val="27"/>
          <w:lang w:eastAsia="zh-CN"/>
        </w:rPr>
        <w:t>);</w:t>
      </w:r>
    </w:p>
    <w:p w14:paraId="5F1CBB85"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Estate, Trust, and Other Beneficiary Transactions (</w:t>
      </w:r>
      <w:hyperlink r:id="rId20" w:tgtFrame="_blank" w:history="1">
        <w:r w:rsidRPr="00DD42A0">
          <w:rPr>
            <w:rFonts w:ascii="Arial" w:eastAsia="Times New Roman" w:hAnsi="Arial" w:cs="Arial"/>
            <w:color w:val="008CDD"/>
            <w:sz w:val="27"/>
            <w:szCs w:val="27"/>
            <w:u w:val="single"/>
            <w:lang w:eastAsia="zh-CN"/>
          </w:rPr>
          <w:t>§ 4458</w:t>
        </w:r>
      </w:hyperlink>
      <w:r w:rsidRPr="00DD42A0">
        <w:rPr>
          <w:rFonts w:ascii="Arial" w:eastAsia="Times New Roman" w:hAnsi="Arial" w:cs="Arial"/>
          <w:sz w:val="27"/>
          <w:szCs w:val="27"/>
          <w:lang w:eastAsia="zh-CN"/>
        </w:rPr>
        <w:t>);</w:t>
      </w:r>
    </w:p>
    <w:p w14:paraId="6C52C444"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Claims and Litigation (</w:t>
      </w:r>
      <w:hyperlink r:id="rId21" w:tgtFrame="_blank" w:history="1">
        <w:r w:rsidRPr="00DD42A0">
          <w:rPr>
            <w:rFonts w:ascii="Arial" w:eastAsia="Times New Roman" w:hAnsi="Arial" w:cs="Arial"/>
            <w:color w:val="008CDD"/>
            <w:sz w:val="27"/>
            <w:szCs w:val="27"/>
            <w:u w:val="single"/>
            <w:lang w:eastAsia="zh-CN"/>
          </w:rPr>
          <w:t>§ 4459</w:t>
        </w:r>
      </w:hyperlink>
      <w:r w:rsidRPr="00DD42A0">
        <w:rPr>
          <w:rFonts w:ascii="Arial" w:eastAsia="Times New Roman" w:hAnsi="Arial" w:cs="Arial"/>
          <w:sz w:val="27"/>
          <w:szCs w:val="27"/>
          <w:lang w:eastAsia="zh-CN"/>
        </w:rPr>
        <w:t>);</w:t>
      </w:r>
    </w:p>
    <w:p w14:paraId="3E405492"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Personal and Family Maintenance (</w:t>
      </w:r>
      <w:hyperlink r:id="rId22" w:tgtFrame="_blank" w:history="1">
        <w:r w:rsidRPr="00DD42A0">
          <w:rPr>
            <w:rFonts w:ascii="Arial" w:eastAsia="Times New Roman" w:hAnsi="Arial" w:cs="Arial"/>
            <w:color w:val="008CDD"/>
            <w:sz w:val="27"/>
            <w:szCs w:val="27"/>
            <w:u w:val="single"/>
            <w:lang w:eastAsia="zh-CN"/>
          </w:rPr>
          <w:t>§ 4460</w:t>
        </w:r>
      </w:hyperlink>
      <w:r w:rsidRPr="00DD42A0">
        <w:rPr>
          <w:rFonts w:ascii="Arial" w:eastAsia="Times New Roman" w:hAnsi="Arial" w:cs="Arial"/>
          <w:sz w:val="27"/>
          <w:szCs w:val="27"/>
          <w:lang w:eastAsia="zh-CN"/>
        </w:rPr>
        <w:t>);</w:t>
      </w:r>
    </w:p>
    <w:p w14:paraId="44F94639"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Benefits From Social Security, Medicare, Medicaid, or Other Governmental Programs, or Civil or Military Service (</w:t>
      </w:r>
      <w:hyperlink r:id="rId23" w:tgtFrame="_blank" w:history="1">
        <w:r w:rsidRPr="00DD42A0">
          <w:rPr>
            <w:rFonts w:ascii="Arial" w:eastAsia="Times New Roman" w:hAnsi="Arial" w:cs="Arial"/>
            <w:color w:val="008CDD"/>
            <w:sz w:val="27"/>
            <w:szCs w:val="27"/>
            <w:u w:val="single"/>
            <w:lang w:eastAsia="zh-CN"/>
          </w:rPr>
          <w:t>§ 4461</w:t>
        </w:r>
      </w:hyperlink>
      <w:r w:rsidRPr="00DD42A0">
        <w:rPr>
          <w:rFonts w:ascii="Arial" w:eastAsia="Times New Roman" w:hAnsi="Arial" w:cs="Arial"/>
          <w:sz w:val="27"/>
          <w:szCs w:val="27"/>
          <w:lang w:eastAsia="zh-CN"/>
        </w:rPr>
        <w:t>);</w:t>
      </w:r>
    </w:p>
    <w:p w14:paraId="2A07C2BD"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Retirement Plan Transactions (</w:t>
      </w:r>
      <w:hyperlink r:id="rId24" w:tgtFrame="_blank" w:history="1">
        <w:r w:rsidRPr="00DD42A0">
          <w:rPr>
            <w:rFonts w:ascii="Arial" w:eastAsia="Times New Roman" w:hAnsi="Arial" w:cs="Arial"/>
            <w:color w:val="008CDD"/>
            <w:sz w:val="27"/>
            <w:szCs w:val="27"/>
            <w:u w:val="single"/>
            <w:lang w:eastAsia="zh-CN"/>
          </w:rPr>
          <w:t>§ 4462</w:t>
        </w:r>
      </w:hyperlink>
      <w:r w:rsidRPr="00DD42A0">
        <w:rPr>
          <w:rFonts w:ascii="Arial" w:eastAsia="Times New Roman" w:hAnsi="Arial" w:cs="Arial"/>
          <w:sz w:val="27"/>
          <w:szCs w:val="27"/>
          <w:lang w:eastAsia="zh-CN"/>
        </w:rPr>
        <w:t>);</w:t>
      </w:r>
    </w:p>
    <w:p w14:paraId="06C691D3" w14:textId="77777777" w:rsidR="00DD42A0" w:rsidRPr="00DD42A0" w:rsidRDefault="00DD42A0" w:rsidP="00DD42A0">
      <w:pPr>
        <w:numPr>
          <w:ilvl w:val="0"/>
          <w:numId w:val="3"/>
        </w:numPr>
        <w:spacing w:line="300" w:lineRule="atLeast"/>
        <w:ind w:left="375"/>
        <w:rPr>
          <w:rFonts w:ascii="Arial" w:eastAsia="Times New Roman" w:hAnsi="Arial" w:cs="Arial"/>
          <w:sz w:val="27"/>
          <w:szCs w:val="27"/>
          <w:lang w:eastAsia="zh-CN"/>
        </w:rPr>
      </w:pPr>
      <w:r w:rsidRPr="00DD42A0">
        <w:rPr>
          <w:rFonts w:ascii="Arial" w:eastAsia="Times New Roman" w:hAnsi="Arial" w:cs="Arial"/>
          <w:sz w:val="27"/>
          <w:szCs w:val="27"/>
          <w:lang w:eastAsia="zh-CN"/>
        </w:rPr>
        <w:t>Tax matters (</w:t>
      </w:r>
      <w:hyperlink r:id="rId25" w:tgtFrame="_blank" w:history="1">
        <w:r w:rsidRPr="00DD42A0">
          <w:rPr>
            <w:rFonts w:ascii="Arial" w:eastAsia="Times New Roman" w:hAnsi="Arial" w:cs="Arial"/>
            <w:color w:val="008CDD"/>
            <w:sz w:val="27"/>
            <w:szCs w:val="27"/>
            <w:u w:val="single"/>
            <w:lang w:eastAsia="zh-CN"/>
          </w:rPr>
          <w:t>§ 4463</w:t>
        </w:r>
      </w:hyperlink>
      <w:r w:rsidRPr="00DD42A0">
        <w:rPr>
          <w:rFonts w:ascii="Arial" w:eastAsia="Times New Roman" w:hAnsi="Arial" w:cs="Arial"/>
          <w:sz w:val="27"/>
          <w:szCs w:val="27"/>
          <w:lang w:eastAsia="zh-CN"/>
        </w:rPr>
        <w:t>).</w:t>
      </w:r>
    </w:p>
    <w:p w14:paraId="0AD4F1DF" w14:textId="77777777" w:rsidR="00DD42A0" w:rsidRPr="00DD42A0" w:rsidRDefault="00DD42A0" w:rsidP="00DD42A0">
      <w:pPr>
        <w:spacing w:before="200" w:after="200" w:line="360" w:lineRule="atLeast"/>
        <w:outlineLvl w:val="2"/>
        <w:rPr>
          <w:rFonts w:ascii="Arial" w:eastAsia="Times New Roman" w:hAnsi="Arial" w:cs="Arial"/>
          <w:sz w:val="32"/>
          <w:szCs w:val="32"/>
          <w:lang w:eastAsia="zh-CN"/>
        </w:rPr>
      </w:pPr>
      <w:r w:rsidRPr="00DD42A0">
        <w:rPr>
          <w:rFonts w:ascii="Arial" w:eastAsia="Times New Roman" w:hAnsi="Arial" w:cs="Arial"/>
          <w:b/>
          <w:bCs/>
          <w:sz w:val="32"/>
          <w:szCs w:val="32"/>
          <w:lang w:eastAsia="zh-CN"/>
        </w:rPr>
        <w:t>Step 3 – Describe Assets in the Estate</w:t>
      </w:r>
    </w:p>
    <w:p w14:paraId="264F9D8D" w14:textId="77777777" w:rsidR="00DD42A0" w:rsidRPr="00DD42A0" w:rsidRDefault="00DD42A0" w:rsidP="00DD42A0">
      <w:pPr>
        <w:spacing w:before="200" w:after="200"/>
        <w:rPr>
          <w:rFonts w:ascii="Arial" w:hAnsi="Arial" w:cs="Arial"/>
          <w:sz w:val="27"/>
          <w:szCs w:val="27"/>
          <w:lang w:eastAsia="zh-CN"/>
        </w:rPr>
      </w:pPr>
      <w:r w:rsidRPr="00DD42A0">
        <w:rPr>
          <w:rFonts w:ascii="Arial" w:hAnsi="Arial" w:cs="Arial"/>
          <w:sz w:val="27"/>
          <w:szCs w:val="27"/>
          <w:lang w:eastAsia="zh-CN"/>
        </w:rPr>
        <w:t>Creating a list that itemizes and describes the principal’s assets can be a useful addition to the estate preparation process. With a clear summary of the principal’s current real estate, financial accounts, personal property, and other assets, there will be little confusion raised when distributing the estate between the heirs following the principal’s death. The </w:t>
      </w:r>
      <w:hyperlink r:id="rId26" w:history="1">
        <w:r w:rsidRPr="00DD42A0">
          <w:rPr>
            <w:rFonts w:ascii="Arial" w:hAnsi="Arial" w:cs="Arial"/>
            <w:color w:val="008CDD"/>
            <w:sz w:val="27"/>
            <w:szCs w:val="27"/>
            <w:u w:val="single"/>
            <w:lang w:eastAsia="zh-CN"/>
          </w:rPr>
          <w:t>Current Assets List</w:t>
        </w:r>
      </w:hyperlink>
      <w:r w:rsidRPr="00DD42A0">
        <w:rPr>
          <w:rFonts w:ascii="Arial" w:hAnsi="Arial" w:cs="Arial"/>
          <w:sz w:val="27"/>
          <w:szCs w:val="27"/>
          <w:lang w:eastAsia="zh-CN"/>
        </w:rPr>
        <w:t> may be used for this purpose and attached to an estate distribution document once completed.</w:t>
      </w:r>
    </w:p>
    <w:p w14:paraId="575C0423" w14:textId="77777777" w:rsidR="00DD42A0" w:rsidRPr="00DD42A0" w:rsidRDefault="00DD42A0" w:rsidP="00DD42A0">
      <w:pPr>
        <w:spacing w:before="200" w:after="200" w:line="360" w:lineRule="atLeast"/>
        <w:outlineLvl w:val="2"/>
        <w:rPr>
          <w:rFonts w:ascii="Arial" w:eastAsia="Times New Roman" w:hAnsi="Arial" w:cs="Arial"/>
          <w:sz w:val="32"/>
          <w:szCs w:val="32"/>
          <w:lang w:eastAsia="zh-CN"/>
        </w:rPr>
      </w:pPr>
      <w:r w:rsidRPr="00DD42A0">
        <w:rPr>
          <w:rFonts w:ascii="Arial" w:eastAsia="Times New Roman" w:hAnsi="Arial" w:cs="Arial"/>
          <w:b/>
          <w:bCs/>
          <w:sz w:val="32"/>
          <w:szCs w:val="32"/>
          <w:lang w:eastAsia="zh-CN"/>
        </w:rPr>
        <w:t>Step 4 – Beneficiary Selection</w:t>
      </w:r>
    </w:p>
    <w:p w14:paraId="00178B5C" w14:textId="77777777" w:rsidR="00DD42A0" w:rsidRPr="00DD42A0" w:rsidRDefault="00DD42A0" w:rsidP="00DD42A0">
      <w:pPr>
        <w:spacing w:before="200" w:after="200"/>
        <w:rPr>
          <w:rFonts w:ascii="Arial" w:hAnsi="Arial" w:cs="Arial"/>
          <w:sz w:val="27"/>
          <w:szCs w:val="27"/>
          <w:lang w:eastAsia="zh-CN"/>
        </w:rPr>
      </w:pPr>
      <w:r w:rsidRPr="00DD42A0">
        <w:rPr>
          <w:rFonts w:ascii="Arial" w:hAnsi="Arial" w:cs="Arial"/>
          <w:sz w:val="27"/>
          <w:szCs w:val="27"/>
          <w:lang w:eastAsia="zh-CN"/>
        </w:rPr>
        <w:t>To be sure that the principal’s property and assets will be distributed to the individuals of their choosing, the principal will need to name the beneficiaries, or “heirs,” of the estate. The decision should not be taken lightly and the parties should be selected only after considerable deliberation. Once chosen, the principal should communicate with the individuals to inform them of any asset they may acquire upon the administration of the estate.</w:t>
      </w:r>
    </w:p>
    <w:p w14:paraId="04C0A44F" w14:textId="77777777" w:rsidR="00DD42A0" w:rsidRDefault="00DD42A0" w:rsidP="00DD42A0">
      <w:pPr>
        <w:spacing w:before="200" w:after="200" w:line="360" w:lineRule="atLeast"/>
        <w:outlineLvl w:val="2"/>
        <w:rPr>
          <w:rFonts w:ascii="Arial" w:eastAsia="Times New Roman" w:hAnsi="Arial" w:cs="Arial"/>
          <w:b/>
          <w:bCs/>
          <w:sz w:val="27"/>
          <w:szCs w:val="27"/>
          <w:lang w:eastAsia="zh-CN"/>
        </w:rPr>
      </w:pPr>
    </w:p>
    <w:p w14:paraId="16F95DEE" w14:textId="77777777" w:rsidR="00DD42A0" w:rsidRDefault="00DD42A0" w:rsidP="00DD42A0">
      <w:pPr>
        <w:spacing w:before="200" w:after="200" w:line="360" w:lineRule="atLeast"/>
        <w:outlineLvl w:val="2"/>
        <w:rPr>
          <w:rFonts w:ascii="Arial" w:eastAsia="Times New Roman" w:hAnsi="Arial" w:cs="Arial"/>
          <w:b/>
          <w:bCs/>
          <w:sz w:val="32"/>
          <w:szCs w:val="32"/>
          <w:lang w:eastAsia="zh-CN"/>
        </w:rPr>
      </w:pPr>
      <w:bookmarkStart w:id="0" w:name="_GoBack"/>
      <w:bookmarkEnd w:id="0"/>
    </w:p>
    <w:p w14:paraId="2249F754" w14:textId="77777777" w:rsidR="00DD42A0" w:rsidRPr="00DD42A0" w:rsidRDefault="00DD42A0" w:rsidP="00DD42A0">
      <w:pPr>
        <w:spacing w:before="200" w:after="200" w:line="360" w:lineRule="atLeast"/>
        <w:outlineLvl w:val="2"/>
        <w:rPr>
          <w:rFonts w:ascii="Arial" w:eastAsia="Times New Roman" w:hAnsi="Arial" w:cs="Arial"/>
          <w:sz w:val="32"/>
          <w:szCs w:val="32"/>
          <w:lang w:eastAsia="zh-CN"/>
        </w:rPr>
      </w:pPr>
      <w:r w:rsidRPr="00DD42A0">
        <w:rPr>
          <w:rFonts w:ascii="Arial" w:eastAsia="Times New Roman" w:hAnsi="Arial" w:cs="Arial"/>
          <w:b/>
          <w:bCs/>
          <w:sz w:val="32"/>
          <w:szCs w:val="32"/>
          <w:lang w:eastAsia="zh-CN"/>
        </w:rPr>
        <w:t>Step 5 – Draft an Estate Distribution Document</w:t>
      </w:r>
    </w:p>
    <w:p w14:paraId="0AA2201F" w14:textId="77777777" w:rsidR="00DD42A0" w:rsidRPr="00DD42A0" w:rsidRDefault="00DD42A0" w:rsidP="00DD42A0">
      <w:pPr>
        <w:spacing w:before="200" w:after="200"/>
        <w:rPr>
          <w:rFonts w:ascii="Arial" w:hAnsi="Arial" w:cs="Arial"/>
          <w:sz w:val="27"/>
          <w:szCs w:val="27"/>
          <w:lang w:eastAsia="zh-CN"/>
        </w:rPr>
      </w:pPr>
      <w:r w:rsidRPr="00DD42A0">
        <w:rPr>
          <w:rFonts w:ascii="Arial" w:hAnsi="Arial" w:cs="Arial"/>
          <w:sz w:val="27"/>
          <w:szCs w:val="27"/>
          <w:lang w:eastAsia="zh-CN"/>
        </w:rPr>
        <w:t>After the principal’s assets have been itemized and the beneficiaries have been selected, it will be necessary to draft an estate distribution document that outlines how the assets will be handled following the principal’s death. This process can be accomplished through the execution of one (1) or both of the following documents:</w:t>
      </w:r>
    </w:p>
    <w:p w14:paraId="08B6F4C5" w14:textId="77777777" w:rsidR="00DD42A0" w:rsidRPr="00DD42A0" w:rsidRDefault="00DD42A0" w:rsidP="00DD42A0">
      <w:pPr>
        <w:spacing w:before="200" w:after="200"/>
        <w:rPr>
          <w:rFonts w:ascii="Arial" w:hAnsi="Arial" w:cs="Arial"/>
          <w:sz w:val="27"/>
          <w:szCs w:val="27"/>
          <w:lang w:eastAsia="zh-CN"/>
        </w:rPr>
      </w:pPr>
      <w:hyperlink r:id="rId27" w:history="1">
        <w:r w:rsidRPr="00DD42A0">
          <w:rPr>
            <w:rFonts w:ascii="Arial" w:hAnsi="Arial" w:cs="Arial"/>
            <w:color w:val="008CDD"/>
            <w:sz w:val="27"/>
            <w:szCs w:val="27"/>
            <w:u w:val="single"/>
            <w:lang w:eastAsia="zh-CN"/>
          </w:rPr>
          <w:t>Last Will and Testament (‘Will’)</w:t>
        </w:r>
      </w:hyperlink>
      <w:r w:rsidRPr="00DD42A0">
        <w:rPr>
          <w:rFonts w:ascii="Arial" w:hAnsi="Arial" w:cs="Arial"/>
          <w:sz w:val="27"/>
          <w:szCs w:val="27"/>
          <w:lang w:eastAsia="zh-CN"/>
        </w:rPr>
        <w:t> – A standard document that allows the principal to indicate the beneficiaries of their estate along with the assets each party will be given following the principal’s death. While a Last Will and Testament can be simple to create and requires no costs at its inception, the document </w:t>
      </w:r>
      <w:r w:rsidRPr="00DD42A0">
        <w:rPr>
          <w:rFonts w:ascii="Arial" w:hAnsi="Arial" w:cs="Arial"/>
          <w:b/>
          <w:bCs/>
          <w:sz w:val="27"/>
          <w:szCs w:val="27"/>
          <w:lang w:eastAsia="zh-CN"/>
        </w:rPr>
        <w:t>will need to go through the probate court</w:t>
      </w:r>
      <w:r w:rsidRPr="00DD42A0">
        <w:rPr>
          <w:rFonts w:ascii="Arial" w:hAnsi="Arial" w:cs="Arial"/>
          <w:sz w:val="27"/>
          <w:szCs w:val="27"/>
          <w:lang w:eastAsia="zh-CN"/>
        </w:rPr>
        <w:t> after the principal dies which can be a tedious process due to the additional costs and extended processing times.</w:t>
      </w:r>
    </w:p>
    <w:p w14:paraId="6DD8E32F" w14:textId="77777777" w:rsidR="00DD42A0" w:rsidRPr="00DD42A0" w:rsidRDefault="00DD42A0" w:rsidP="00DD42A0">
      <w:pPr>
        <w:numPr>
          <w:ilvl w:val="0"/>
          <w:numId w:val="4"/>
        </w:numPr>
        <w:spacing w:before="200" w:after="200" w:line="300" w:lineRule="atLeast"/>
        <w:ind w:left="375"/>
        <w:rPr>
          <w:rFonts w:ascii="Arial" w:eastAsia="Times New Roman" w:hAnsi="Arial" w:cs="Arial"/>
          <w:sz w:val="27"/>
          <w:szCs w:val="27"/>
          <w:lang w:eastAsia="zh-CN"/>
        </w:rPr>
      </w:pPr>
      <w:r w:rsidRPr="00DD42A0">
        <w:rPr>
          <w:rFonts w:ascii="Arial" w:eastAsia="Times New Roman" w:hAnsi="Arial" w:cs="Arial"/>
          <w:b/>
          <w:bCs/>
          <w:sz w:val="27"/>
          <w:szCs w:val="27"/>
          <w:lang w:eastAsia="zh-CN"/>
        </w:rPr>
        <w:t>Signing Requirements </w:t>
      </w:r>
      <w:r w:rsidRPr="00DD42A0">
        <w:rPr>
          <w:rFonts w:ascii="Arial" w:eastAsia="Times New Roman" w:hAnsi="Arial" w:cs="Arial"/>
          <w:sz w:val="27"/>
          <w:szCs w:val="27"/>
          <w:lang w:eastAsia="zh-CN"/>
        </w:rPr>
        <w:t>(</w:t>
      </w:r>
      <w:hyperlink r:id="rId28" w:tgtFrame="_blank" w:history="1">
        <w:r w:rsidRPr="00DD42A0">
          <w:rPr>
            <w:rFonts w:ascii="Arial" w:eastAsia="Times New Roman" w:hAnsi="Arial" w:cs="Arial"/>
            <w:color w:val="008CDD"/>
            <w:sz w:val="27"/>
            <w:szCs w:val="27"/>
            <w:u w:val="single"/>
            <w:lang w:eastAsia="zh-CN"/>
          </w:rPr>
          <w:t>§ 6110</w:t>
        </w:r>
      </w:hyperlink>
      <w:r w:rsidRPr="00DD42A0">
        <w:rPr>
          <w:rFonts w:ascii="Arial" w:eastAsia="Times New Roman" w:hAnsi="Arial" w:cs="Arial"/>
          <w:sz w:val="27"/>
          <w:szCs w:val="27"/>
          <w:lang w:eastAsia="zh-CN"/>
        </w:rPr>
        <w:t>) – Signed by the principal and two (2) or more witnesses who were present either when the principal signed the Will, or when the principal acknowledged the signature or the Will itself.</w:t>
      </w:r>
    </w:p>
    <w:p w14:paraId="34907610" w14:textId="77777777" w:rsidR="00DD42A0" w:rsidRPr="00DD42A0" w:rsidRDefault="00DD42A0" w:rsidP="00DD42A0">
      <w:pPr>
        <w:spacing w:before="200" w:after="200"/>
        <w:rPr>
          <w:rFonts w:ascii="Arial" w:hAnsi="Arial" w:cs="Arial"/>
          <w:sz w:val="27"/>
          <w:szCs w:val="27"/>
          <w:lang w:eastAsia="zh-CN"/>
        </w:rPr>
      </w:pPr>
      <w:hyperlink r:id="rId29" w:history="1">
        <w:r w:rsidRPr="00DD42A0">
          <w:rPr>
            <w:rFonts w:ascii="Arial" w:hAnsi="Arial" w:cs="Arial"/>
            <w:color w:val="008CDD"/>
            <w:sz w:val="27"/>
            <w:szCs w:val="27"/>
            <w:u w:val="single"/>
            <w:lang w:eastAsia="zh-CN"/>
          </w:rPr>
          <w:t>Living Trust (Revocable)</w:t>
        </w:r>
      </w:hyperlink>
      <w:r w:rsidRPr="00DD42A0">
        <w:rPr>
          <w:rFonts w:ascii="Arial" w:hAnsi="Arial" w:cs="Arial"/>
          <w:sz w:val="27"/>
          <w:szCs w:val="27"/>
          <w:lang w:eastAsia="zh-CN"/>
        </w:rPr>
        <w:t> – Creates an entity that holds ownership of the principal’s assets until they die or the document is terminated or revoked. During the lifetime of the principal, they can continue to manage the estate as if the assets were still in their possession. The principal will specify the beneficiaries and designate a trustee or successor trustee who will have permission to distribute the estate after the principal passes away. Unlike a Last Will and Testament, a Living Trust </w:t>
      </w:r>
      <w:r w:rsidRPr="00DD42A0">
        <w:rPr>
          <w:rFonts w:ascii="Arial" w:hAnsi="Arial" w:cs="Arial"/>
          <w:b/>
          <w:bCs/>
          <w:sz w:val="27"/>
          <w:szCs w:val="27"/>
          <w:lang w:eastAsia="zh-CN"/>
        </w:rPr>
        <w:t>avoids the probate process</w:t>
      </w:r>
      <w:r w:rsidRPr="00DD42A0">
        <w:rPr>
          <w:rFonts w:ascii="Arial" w:hAnsi="Arial" w:cs="Arial"/>
          <w:sz w:val="27"/>
          <w:szCs w:val="27"/>
          <w:lang w:eastAsia="zh-CN"/>
        </w:rPr>
        <w:t> and can therefore be administered immediately after death.</w:t>
      </w:r>
    </w:p>
    <w:p w14:paraId="250E248C" w14:textId="77777777" w:rsidR="00DD42A0" w:rsidRPr="00DD42A0" w:rsidRDefault="00DD42A0" w:rsidP="00DD42A0">
      <w:pPr>
        <w:numPr>
          <w:ilvl w:val="0"/>
          <w:numId w:val="5"/>
        </w:numPr>
        <w:spacing w:before="200" w:after="200" w:line="300" w:lineRule="atLeast"/>
        <w:ind w:left="375"/>
        <w:rPr>
          <w:rFonts w:ascii="Arial" w:eastAsia="Times New Roman" w:hAnsi="Arial" w:cs="Arial"/>
          <w:sz w:val="27"/>
          <w:szCs w:val="27"/>
          <w:lang w:eastAsia="zh-CN"/>
        </w:rPr>
      </w:pPr>
      <w:r w:rsidRPr="00DD42A0">
        <w:rPr>
          <w:rFonts w:ascii="Arial" w:eastAsia="Times New Roman" w:hAnsi="Arial" w:cs="Arial"/>
          <w:b/>
          <w:bCs/>
          <w:sz w:val="27"/>
          <w:szCs w:val="27"/>
          <w:lang w:eastAsia="zh-CN"/>
        </w:rPr>
        <w:t>Signing Requirements </w:t>
      </w:r>
      <w:r w:rsidRPr="00DD42A0">
        <w:rPr>
          <w:rFonts w:ascii="Arial" w:eastAsia="Times New Roman" w:hAnsi="Arial" w:cs="Arial"/>
          <w:sz w:val="27"/>
          <w:szCs w:val="27"/>
          <w:lang w:eastAsia="zh-CN"/>
        </w:rPr>
        <w:t>(</w:t>
      </w:r>
      <w:hyperlink r:id="rId30" w:tgtFrame="_blank" w:history="1">
        <w:r w:rsidRPr="00DD42A0">
          <w:rPr>
            <w:rFonts w:ascii="Arial" w:eastAsia="Times New Roman" w:hAnsi="Arial" w:cs="Arial"/>
            <w:color w:val="008CDD"/>
            <w:sz w:val="27"/>
            <w:szCs w:val="27"/>
            <w:u w:val="single"/>
            <w:lang w:eastAsia="zh-CN"/>
          </w:rPr>
          <w:t>§ 15200 – 15212</w:t>
        </w:r>
      </w:hyperlink>
      <w:r w:rsidRPr="00DD42A0">
        <w:rPr>
          <w:rFonts w:ascii="Arial" w:eastAsia="Times New Roman" w:hAnsi="Arial" w:cs="Arial"/>
          <w:sz w:val="27"/>
          <w:szCs w:val="27"/>
          <w:lang w:eastAsia="zh-CN"/>
        </w:rPr>
        <w:t>) – Should be signed by the principal, two (2) adult witnesses, and acknowledged before a notary public.</w:t>
      </w:r>
    </w:p>
    <w:p w14:paraId="2A9CD572" w14:textId="77777777" w:rsidR="00DD42A0" w:rsidRPr="00DD42A0" w:rsidRDefault="00DD42A0" w:rsidP="00DD42A0">
      <w:pPr>
        <w:spacing w:before="200" w:after="200" w:line="360" w:lineRule="atLeast"/>
        <w:outlineLvl w:val="2"/>
        <w:rPr>
          <w:rFonts w:ascii="Arial" w:eastAsia="Times New Roman" w:hAnsi="Arial" w:cs="Arial"/>
          <w:sz w:val="32"/>
          <w:szCs w:val="32"/>
          <w:lang w:eastAsia="zh-CN"/>
        </w:rPr>
      </w:pPr>
      <w:r w:rsidRPr="00DD42A0">
        <w:rPr>
          <w:rFonts w:ascii="Arial" w:eastAsia="Times New Roman" w:hAnsi="Arial" w:cs="Arial"/>
          <w:b/>
          <w:bCs/>
          <w:sz w:val="32"/>
          <w:szCs w:val="32"/>
          <w:lang w:eastAsia="zh-CN"/>
        </w:rPr>
        <w:t>Step 6 – Store the Estate Documents</w:t>
      </w:r>
    </w:p>
    <w:p w14:paraId="5DB52DEF" w14:textId="77777777" w:rsidR="00DD42A0" w:rsidRPr="00DD42A0" w:rsidRDefault="00DD42A0" w:rsidP="00DD42A0">
      <w:pPr>
        <w:spacing w:before="200" w:after="200"/>
        <w:rPr>
          <w:rFonts w:ascii="Arial" w:hAnsi="Arial" w:cs="Arial"/>
          <w:sz w:val="27"/>
          <w:szCs w:val="27"/>
          <w:lang w:eastAsia="zh-CN"/>
        </w:rPr>
      </w:pPr>
      <w:r w:rsidRPr="00DD42A0">
        <w:rPr>
          <w:rFonts w:ascii="Arial" w:hAnsi="Arial" w:cs="Arial"/>
          <w:sz w:val="27"/>
          <w:szCs w:val="27"/>
          <w:lang w:eastAsia="zh-CN"/>
        </w:rPr>
        <w:t>All estate preparation document should be stored in a secure location once completed. It is recommended that the paperwork be left with the principal’s attorney or a close relative such as a spouse or child. Furthermore, the principal should take care when informing others of the location of the documents. This is important to not only prevent unauthorized alterations but to also ensure that there is always someone who knows how to access the documents in the event of a medical emergency or death.</w:t>
      </w:r>
    </w:p>
    <w:p w14:paraId="0AB01A85" w14:textId="77777777" w:rsidR="00DD42A0" w:rsidRPr="00DD42A0" w:rsidRDefault="00DD42A0" w:rsidP="00DD42A0">
      <w:pPr>
        <w:spacing w:before="240" w:after="48" w:line="360" w:lineRule="atLeast"/>
        <w:outlineLvl w:val="0"/>
        <w:rPr>
          <w:rFonts w:ascii="Arial" w:eastAsia="Times New Roman" w:hAnsi="Arial" w:cs="Arial"/>
          <w:b/>
          <w:bCs/>
          <w:kern w:val="36"/>
          <w:sz w:val="36"/>
          <w:szCs w:val="36"/>
          <w:lang w:eastAsia="zh-CN"/>
        </w:rPr>
      </w:pPr>
      <w:r w:rsidRPr="00DD42A0">
        <w:rPr>
          <w:rFonts w:ascii="Arial" w:eastAsia="Times New Roman" w:hAnsi="Arial" w:cs="Arial"/>
          <w:b/>
          <w:bCs/>
          <w:kern w:val="36"/>
          <w:sz w:val="36"/>
          <w:szCs w:val="36"/>
          <w:lang w:eastAsia="zh-CN"/>
        </w:rPr>
        <w:t>California Estate Planning Laws</w:t>
      </w:r>
    </w:p>
    <w:p w14:paraId="20F61AFD" w14:textId="77777777" w:rsidR="00DD42A0" w:rsidRPr="00DD42A0" w:rsidRDefault="00DD42A0" w:rsidP="00DD42A0">
      <w:pPr>
        <w:numPr>
          <w:ilvl w:val="0"/>
          <w:numId w:val="6"/>
        </w:numPr>
        <w:spacing w:before="100" w:beforeAutospacing="1" w:after="100" w:afterAutospacing="1" w:line="300" w:lineRule="atLeast"/>
        <w:ind w:left="375"/>
        <w:rPr>
          <w:rFonts w:ascii="Arial" w:eastAsia="Times New Roman" w:hAnsi="Arial" w:cs="Arial"/>
          <w:sz w:val="27"/>
          <w:szCs w:val="27"/>
          <w:lang w:eastAsia="zh-CN"/>
        </w:rPr>
      </w:pPr>
      <w:r w:rsidRPr="00DD42A0">
        <w:rPr>
          <w:rFonts w:ascii="Arial" w:eastAsia="Times New Roman" w:hAnsi="Arial" w:cs="Arial"/>
          <w:b/>
          <w:bCs/>
          <w:sz w:val="27"/>
          <w:szCs w:val="27"/>
          <w:lang w:eastAsia="zh-CN"/>
        </w:rPr>
        <w:t>Medical Power of Attorney</w:t>
      </w:r>
      <w:r w:rsidRPr="00DD42A0">
        <w:rPr>
          <w:rFonts w:ascii="Arial" w:eastAsia="Times New Roman" w:hAnsi="Arial" w:cs="Arial"/>
          <w:sz w:val="27"/>
          <w:szCs w:val="27"/>
          <w:lang w:eastAsia="zh-CN"/>
        </w:rPr>
        <w:t> – </w:t>
      </w:r>
      <w:hyperlink r:id="rId31" w:tgtFrame="_blank" w:history="1">
        <w:r w:rsidRPr="00DD42A0">
          <w:rPr>
            <w:rFonts w:ascii="Arial" w:eastAsia="Times New Roman" w:hAnsi="Arial" w:cs="Arial"/>
            <w:color w:val="008CDD"/>
            <w:sz w:val="27"/>
            <w:szCs w:val="27"/>
            <w:u w:val="single"/>
            <w:lang w:eastAsia="zh-CN"/>
          </w:rPr>
          <w:t>Division 4.7, Part 2</w:t>
        </w:r>
      </w:hyperlink>
    </w:p>
    <w:p w14:paraId="1C761801" w14:textId="77777777" w:rsidR="00DD42A0" w:rsidRPr="00DD42A0" w:rsidRDefault="00DD42A0" w:rsidP="00DD42A0">
      <w:pPr>
        <w:numPr>
          <w:ilvl w:val="0"/>
          <w:numId w:val="6"/>
        </w:numPr>
        <w:spacing w:before="100" w:beforeAutospacing="1" w:after="100" w:afterAutospacing="1" w:line="300" w:lineRule="atLeast"/>
        <w:ind w:left="375"/>
        <w:rPr>
          <w:rFonts w:ascii="Arial" w:eastAsia="Times New Roman" w:hAnsi="Arial" w:cs="Arial"/>
          <w:sz w:val="27"/>
          <w:szCs w:val="27"/>
          <w:lang w:eastAsia="zh-CN"/>
        </w:rPr>
      </w:pPr>
      <w:r w:rsidRPr="00DD42A0">
        <w:rPr>
          <w:rFonts w:ascii="Arial" w:eastAsia="Times New Roman" w:hAnsi="Arial" w:cs="Arial"/>
          <w:b/>
          <w:bCs/>
          <w:sz w:val="27"/>
          <w:szCs w:val="27"/>
          <w:lang w:eastAsia="zh-CN"/>
        </w:rPr>
        <w:t>Durable (Financial) Power of Attorney</w:t>
      </w:r>
      <w:r w:rsidRPr="00DD42A0">
        <w:rPr>
          <w:rFonts w:ascii="Arial" w:eastAsia="Times New Roman" w:hAnsi="Arial" w:cs="Arial"/>
          <w:sz w:val="27"/>
          <w:szCs w:val="27"/>
          <w:lang w:eastAsia="zh-CN"/>
        </w:rPr>
        <w:t> – </w:t>
      </w:r>
      <w:hyperlink r:id="rId32" w:tgtFrame="_blank" w:history="1">
        <w:r w:rsidRPr="00DD42A0">
          <w:rPr>
            <w:rFonts w:ascii="Arial" w:eastAsia="Times New Roman" w:hAnsi="Arial" w:cs="Arial"/>
            <w:color w:val="008CDD"/>
            <w:sz w:val="27"/>
            <w:szCs w:val="27"/>
            <w:u w:val="single"/>
            <w:lang w:eastAsia="zh-CN"/>
          </w:rPr>
          <w:t>Division 4.5</w:t>
        </w:r>
      </w:hyperlink>
    </w:p>
    <w:p w14:paraId="7983ABC3" w14:textId="77777777" w:rsidR="00DD42A0" w:rsidRPr="00DD42A0" w:rsidRDefault="00DD42A0" w:rsidP="00DD42A0">
      <w:pPr>
        <w:numPr>
          <w:ilvl w:val="0"/>
          <w:numId w:val="6"/>
        </w:numPr>
        <w:spacing w:before="100" w:beforeAutospacing="1" w:after="100" w:afterAutospacing="1" w:line="300" w:lineRule="atLeast"/>
        <w:ind w:left="375"/>
        <w:rPr>
          <w:rFonts w:ascii="Arial" w:eastAsia="Times New Roman" w:hAnsi="Arial" w:cs="Arial"/>
          <w:sz w:val="27"/>
          <w:szCs w:val="27"/>
          <w:lang w:eastAsia="zh-CN"/>
        </w:rPr>
      </w:pPr>
      <w:r w:rsidRPr="00DD42A0">
        <w:rPr>
          <w:rFonts w:ascii="Arial" w:eastAsia="Times New Roman" w:hAnsi="Arial" w:cs="Arial"/>
          <w:b/>
          <w:bCs/>
          <w:sz w:val="27"/>
          <w:szCs w:val="27"/>
          <w:lang w:eastAsia="zh-CN"/>
        </w:rPr>
        <w:t>Last Will and Testament</w:t>
      </w:r>
      <w:r w:rsidRPr="00DD42A0">
        <w:rPr>
          <w:rFonts w:ascii="Arial" w:eastAsia="Times New Roman" w:hAnsi="Arial" w:cs="Arial"/>
          <w:sz w:val="27"/>
          <w:szCs w:val="27"/>
          <w:lang w:eastAsia="zh-CN"/>
        </w:rPr>
        <w:t> – </w:t>
      </w:r>
      <w:hyperlink r:id="rId33" w:tgtFrame="_blank" w:history="1">
        <w:r w:rsidRPr="00DD42A0">
          <w:rPr>
            <w:rFonts w:ascii="Arial" w:eastAsia="Times New Roman" w:hAnsi="Arial" w:cs="Arial"/>
            <w:color w:val="008CDD"/>
            <w:sz w:val="27"/>
            <w:szCs w:val="27"/>
            <w:u w:val="single"/>
            <w:lang w:eastAsia="zh-CN"/>
          </w:rPr>
          <w:t>Division 6, Part 1</w:t>
        </w:r>
      </w:hyperlink>
    </w:p>
    <w:p w14:paraId="7DFFDA21" w14:textId="0471F561" w:rsidR="00BD7843" w:rsidRPr="00DD42A0" w:rsidRDefault="00DD42A0" w:rsidP="00DD42A0">
      <w:pPr>
        <w:numPr>
          <w:ilvl w:val="0"/>
          <w:numId w:val="6"/>
        </w:numPr>
        <w:spacing w:before="100" w:beforeAutospacing="1" w:after="100" w:afterAutospacing="1" w:line="300" w:lineRule="atLeast"/>
        <w:ind w:left="375"/>
        <w:rPr>
          <w:rFonts w:ascii="Arial" w:eastAsia="Times New Roman" w:hAnsi="Arial" w:cs="Arial"/>
          <w:sz w:val="27"/>
          <w:szCs w:val="27"/>
          <w:lang w:eastAsia="zh-CN"/>
        </w:rPr>
      </w:pPr>
      <w:r w:rsidRPr="00DD42A0">
        <w:rPr>
          <w:rFonts w:ascii="Arial" w:eastAsia="Times New Roman" w:hAnsi="Arial" w:cs="Arial"/>
          <w:b/>
          <w:bCs/>
          <w:sz w:val="27"/>
          <w:szCs w:val="27"/>
          <w:lang w:eastAsia="zh-CN"/>
        </w:rPr>
        <w:t>Revocable Living Trust</w:t>
      </w:r>
      <w:r w:rsidRPr="00DD42A0">
        <w:rPr>
          <w:rFonts w:ascii="Arial" w:eastAsia="Times New Roman" w:hAnsi="Arial" w:cs="Arial"/>
          <w:sz w:val="27"/>
          <w:szCs w:val="27"/>
          <w:lang w:eastAsia="zh-CN"/>
        </w:rPr>
        <w:t> – </w:t>
      </w:r>
      <w:hyperlink r:id="rId34" w:tgtFrame="_blank" w:history="1">
        <w:r w:rsidRPr="00DD42A0">
          <w:rPr>
            <w:rFonts w:ascii="Arial" w:eastAsia="Times New Roman" w:hAnsi="Arial" w:cs="Arial"/>
            <w:color w:val="008CDD"/>
            <w:sz w:val="27"/>
            <w:szCs w:val="27"/>
            <w:u w:val="single"/>
            <w:lang w:eastAsia="zh-CN"/>
          </w:rPr>
          <w:t>Division 9</w:t>
        </w:r>
      </w:hyperlink>
    </w:p>
    <w:sectPr w:rsidR="00BD7843" w:rsidRPr="00DD42A0" w:rsidSect="00F052B0">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C45D8" w14:textId="77777777" w:rsidR="00C012A4" w:rsidRDefault="00C012A4" w:rsidP="00DD42A0">
      <w:r>
        <w:separator/>
      </w:r>
    </w:p>
  </w:endnote>
  <w:endnote w:type="continuationSeparator" w:id="0">
    <w:p w14:paraId="19B2E299" w14:textId="77777777" w:rsidR="00C012A4" w:rsidRDefault="00C012A4" w:rsidP="00DD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B030" w14:textId="77777777" w:rsidR="00AE69BD" w:rsidRPr="00BE4C06" w:rsidRDefault="00AE69BD" w:rsidP="00AE69BD">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C012A4">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C012A4">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3BAA3BA8" w14:textId="1F4E6C3B" w:rsidR="00AE69BD" w:rsidRPr="00AE69BD" w:rsidRDefault="00AE69BD" w:rsidP="00AE69BD">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4D4FAFE7" wp14:editId="051C073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7F0EA" w14:textId="77777777" w:rsidR="00C012A4" w:rsidRDefault="00C012A4" w:rsidP="00DD42A0">
      <w:r>
        <w:separator/>
      </w:r>
    </w:p>
  </w:footnote>
  <w:footnote w:type="continuationSeparator" w:id="0">
    <w:p w14:paraId="4DBC8C71" w14:textId="77777777" w:rsidR="00C012A4" w:rsidRDefault="00C012A4" w:rsidP="00DD42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D69B4"/>
    <w:multiLevelType w:val="multilevel"/>
    <w:tmpl w:val="EB90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A62D5"/>
    <w:multiLevelType w:val="multilevel"/>
    <w:tmpl w:val="A220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F7CFB"/>
    <w:multiLevelType w:val="multilevel"/>
    <w:tmpl w:val="14A2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1273C"/>
    <w:multiLevelType w:val="multilevel"/>
    <w:tmpl w:val="DD6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D7242"/>
    <w:multiLevelType w:val="multilevel"/>
    <w:tmpl w:val="3794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7449A"/>
    <w:multiLevelType w:val="multilevel"/>
    <w:tmpl w:val="1908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37"/>
    <w:rsid w:val="00182485"/>
    <w:rsid w:val="001C4637"/>
    <w:rsid w:val="00AE69BD"/>
    <w:rsid w:val="00BD7843"/>
    <w:rsid w:val="00C012A4"/>
    <w:rsid w:val="00DD42A0"/>
    <w:rsid w:val="00EE1D22"/>
    <w:rsid w:val="00F052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2554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D42A0"/>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DD42A0"/>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paragraph" w:styleId="Header">
    <w:name w:val="header"/>
    <w:basedOn w:val="Normal"/>
    <w:link w:val="HeaderChar"/>
    <w:uiPriority w:val="99"/>
    <w:unhideWhenUsed/>
    <w:rsid w:val="00DD42A0"/>
    <w:pPr>
      <w:tabs>
        <w:tab w:val="center" w:pos="4680"/>
        <w:tab w:val="right" w:pos="9360"/>
      </w:tabs>
    </w:pPr>
  </w:style>
  <w:style w:type="character" w:customStyle="1" w:styleId="HeaderChar">
    <w:name w:val="Header Char"/>
    <w:basedOn w:val="DefaultParagraphFont"/>
    <w:link w:val="Header"/>
    <w:uiPriority w:val="99"/>
    <w:rsid w:val="00DD42A0"/>
  </w:style>
  <w:style w:type="paragraph" w:styleId="Footer">
    <w:name w:val="footer"/>
    <w:basedOn w:val="Normal"/>
    <w:link w:val="FooterChar"/>
    <w:uiPriority w:val="99"/>
    <w:unhideWhenUsed/>
    <w:rsid w:val="00DD42A0"/>
    <w:pPr>
      <w:tabs>
        <w:tab w:val="center" w:pos="4680"/>
        <w:tab w:val="right" w:pos="9360"/>
      </w:tabs>
    </w:pPr>
  </w:style>
  <w:style w:type="character" w:customStyle="1" w:styleId="FooterChar">
    <w:name w:val="Footer Char"/>
    <w:basedOn w:val="DefaultParagraphFont"/>
    <w:link w:val="Footer"/>
    <w:uiPriority w:val="99"/>
    <w:rsid w:val="00DD42A0"/>
  </w:style>
  <w:style w:type="character" w:customStyle="1" w:styleId="Heading1Char">
    <w:name w:val="Heading 1 Char"/>
    <w:basedOn w:val="DefaultParagraphFont"/>
    <w:link w:val="Heading1"/>
    <w:uiPriority w:val="9"/>
    <w:rsid w:val="00DD42A0"/>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DD42A0"/>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DD42A0"/>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DD42A0"/>
    <w:rPr>
      <w:b/>
      <w:bCs/>
    </w:rPr>
  </w:style>
  <w:style w:type="paragraph" w:styleId="z-TopofForm">
    <w:name w:val="HTML Top of Form"/>
    <w:basedOn w:val="Normal"/>
    <w:next w:val="Normal"/>
    <w:link w:val="z-TopofFormChar"/>
    <w:hidden/>
    <w:uiPriority w:val="99"/>
    <w:semiHidden/>
    <w:unhideWhenUsed/>
    <w:rsid w:val="00DD42A0"/>
    <w:pPr>
      <w:pBdr>
        <w:bottom w:val="single" w:sz="6" w:space="1" w:color="auto"/>
      </w:pBdr>
      <w:jc w:val="center"/>
    </w:pPr>
    <w:rPr>
      <w:rFonts w:ascii="Arial" w:hAnsi="Arial" w:cs="Arial"/>
      <w:vanish/>
      <w:sz w:val="16"/>
      <w:szCs w:val="16"/>
      <w:lang w:eastAsia="zh-CN"/>
    </w:rPr>
  </w:style>
  <w:style w:type="character" w:customStyle="1" w:styleId="z-TopofFormChar">
    <w:name w:val="z-Top of Form Char"/>
    <w:basedOn w:val="DefaultParagraphFont"/>
    <w:link w:val="z-TopofForm"/>
    <w:uiPriority w:val="99"/>
    <w:semiHidden/>
    <w:rsid w:val="00DD42A0"/>
    <w:rPr>
      <w:rFonts w:ascii="Arial"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DD42A0"/>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DD42A0"/>
    <w:rPr>
      <w:rFonts w:ascii="Arial" w:hAnsi="Arial" w:cs="Arial"/>
      <w:vanish/>
      <w:sz w:val="16"/>
      <w:szCs w:val="16"/>
      <w:lang w:eastAsia="zh-CN"/>
    </w:rPr>
  </w:style>
  <w:style w:type="character" w:customStyle="1" w:styleId="dmsupportphonetime">
    <w:name w:val="dm_support_phone_time"/>
    <w:basedOn w:val="DefaultParagraphFont"/>
    <w:rsid w:val="00DD42A0"/>
  </w:style>
  <w:style w:type="character" w:styleId="PageNumber">
    <w:name w:val="page number"/>
    <w:basedOn w:val="DefaultParagraphFont"/>
    <w:uiPriority w:val="99"/>
    <w:rsid w:val="00AE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86519">
      <w:bodyDiv w:val="1"/>
      <w:marLeft w:val="0"/>
      <w:marRight w:val="0"/>
      <w:marTop w:val="0"/>
      <w:marBottom w:val="0"/>
      <w:divBdr>
        <w:top w:val="none" w:sz="0" w:space="0" w:color="auto"/>
        <w:left w:val="none" w:sz="0" w:space="0" w:color="auto"/>
        <w:bottom w:val="none" w:sz="0" w:space="0" w:color="auto"/>
        <w:right w:val="none" w:sz="0" w:space="0" w:color="auto"/>
      </w:divBdr>
      <w:divsChild>
        <w:div w:id="1429305362">
          <w:marLeft w:val="0"/>
          <w:marRight w:val="0"/>
          <w:marTop w:val="0"/>
          <w:marBottom w:val="0"/>
          <w:divBdr>
            <w:top w:val="none" w:sz="0" w:space="0" w:color="auto"/>
            <w:left w:val="none" w:sz="0" w:space="0" w:color="auto"/>
            <w:bottom w:val="none" w:sz="0" w:space="0" w:color="auto"/>
            <w:right w:val="none" w:sz="0" w:space="0" w:color="auto"/>
          </w:divBdr>
          <w:divsChild>
            <w:div w:id="1470123553">
              <w:marLeft w:val="0"/>
              <w:marRight w:val="0"/>
              <w:marTop w:val="0"/>
              <w:marBottom w:val="0"/>
              <w:divBdr>
                <w:top w:val="none" w:sz="0" w:space="0" w:color="auto"/>
                <w:left w:val="none" w:sz="0" w:space="0" w:color="auto"/>
                <w:bottom w:val="none" w:sz="0" w:space="0" w:color="auto"/>
                <w:right w:val="none" w:sz="0" w:space="0" w:color="auto"/>
              </w:divBdr>
              <w:divsChild>
                <w:div w:id="1782384115">
                  <w:marLeft w:val="0"/>
                  <w:marRight w:val="0"/>
                  <w:marTop w:val="0"/>
                  <w:marBottom w:val="0"/>
                  <w:divBdr>
                    <w:top w:val="none" w:sz="0" w:space="0" w:color="auto"/>
                    <w:left w:val="none" w:sz="0" w:space="0" w:color="auto"/>
                    <w:bottom w:val="none" w:sz="0" w:space="0" w:color="auto"/>
                    <w:right w:val="none" w:sz="0" w:space="0" w:color="auto"/>
                  </w:divBdr>
                  <w:divsChild>
                    <w:div w:id="1954288868">
                      <w:marLeft w:val="0"/>
                      <w:marRight w:val="0"/>
                      <w:marTop w:val="0"/>
                      <w:marBottom w:val="0"/>
                      <w:divBdr>
                        <w:top w:val="none" w:sz="0" w:space="0" w:color="auto"/>
                        <w:left w:val="none" w:sz="0" w:space="0" w:color="auto"/>
                        <w:bottom w:val="none" w:sz="0" w:space="0" w:color="auto"/>
                        <w:right w:val="none" w:sz="0" w:space="0" w:color="auto"/>
                      </w:divBdr>
                    </w:div>
                  </w:divsChild>
                </w:div>
                <w:div w:id="39717864">
                  <w:marLeft w:val="300"/>
                  <w:marRight w:val="0"/>
                  <w:marTop w:val="0"/>
                  <w:marBottom w:val="0"/>
                  <w:divBdr>
                    <w:top w:val="none" w:sz="0" w:space="0" w:color="auto"/>
                    <w:left w:val="none" w:sz="0" w:space="0" w:color="auto"/>
                    <w:bottom w:val="none" w:sz="0" w:space="0" w:color="auto"/>
                    <w:right w:val="none" w:sz="0" w:space="0" w:color="auto"/>
                  </w:divBdr>
                  <w:divsChild>
                    <w:div w:id="247815762">
                      <w:marLeft w:val="0"/>
                      <w:marRight w:val="0"/>
                      <w:marTop w:val="0"/>
                      <w:marBottom w:val="0"/>
                      <w:divBdr>
                        <w:top w:val="none" w:sz="0" w:space="0" w:color="auto"/>
                        <w:left w:val="none" w:sz="0" w:space="0" w:color="auto"/>
                        <w:bottom w:val="none" w:sz="0" w:space="0" w:color="auto"/>
                        <w:right w:val="none" w:sz="0" w:space="0" w:color="auto"/>
                      </w:divBdr>
                      <w:divsChild>
                        <w:div w:id="267588971">
                          <w:marLeft w:val="0"/>
                          <w:marRight w:val="0"/>
                          <w:marTop w:val="300"/>
                          <w:marBottom w:val="300"/>
                          <w:divBdr>
                            <w:top w:val="none" w:sz="0" w:space="0" w:color="auto"/>
                            <w:left w:val="none" w:sz="0" w:space="0" w:color="auto"/>
                            <w:bottom w:val="none" w:sz="0" w:space="0" w:color="auto"/>
                            <w:right w:val="none" w:sz="0" w:space="0" w:color="auto"/>
                          </w:divBdr>
                          <w:divsChild>
                            <w:div w:id="857810567">
                              <w:marLeft w:val="0"/>
                              <w:marRight w:val="0"/>
                              <w:marTop w:val="0"/>
                              <w:marBottom w:val="0"/>
                              <w:divBdr>
                                <w:top w:val="none" w:sz="0" w:space="0" w:color="auto"/>
                                <w:left w:val="none" w:sz="0" w:space="0" w:color="auto"/>
                                <w:bottom w:val="none" w:sz="0" w:space="0" w:color="auto"/>
                                <w:right w:val="none" w:sz="0" w:space="0" w:color="auto"/>
                              </w:divBdr>
                            </w:div>
                          </w:divsChild>
                        </w:div>
                        <w:div w:id="1852721894">
                          <w:marLeft w:val="0"/>
                          <w:marRight w:val="0"/>
                          <w:marTop w:val="300"/>
                          <w:marBottom w:val="300"/>
                          <w:divBdr>
                            <w:top w:val="none" w:sz="0" w:space="0" w:color="auto"/>
                            <w:left w:val="none" w:sz="0" w:space="0" w:color="auto"/>
                            <w:bottom w:val="none" w:sz="0" w:space="0" w:color="auto"/>
                            <w:right w:val="none" w:sz="0" w:space="0" w:color="auto"/>
                          </w:divBdr>
                          <w:divsChild>
                            <w:div w:id="1107045051">
                              <w:marLeft w:val="0"/>
                              <w:marRight w:val="0"/>
                              <w:marTop w:val="0"/>
                              <w:marBottom w:val="0"/>
                              <w:divBdr>
                                <w:top w:val="none" w:sz="0" w:space="0" w:color="auto"/>
                                <w:left w:val="none" w:sz="0" w:space="0" w:color="auto"/>
                                <w:bottom w:val="none" w:sz="0" w:space="0" w:color="auto"/>
                                <w:right w:val="none" w:sz="0" w:space="0" w:color="auto"/>
                              </w:divBdr>
                              <w:divsChild>
                                <w:div w:id="308288549">
                                  <w:marLeft w:val="0"/>
                                  <w:marRight w:val="0"/>
                                  <w:marTop w:val="0"/>
                                  <w:marBottom w:val="0"/>
                                  <w:divBdr>
                                    <w:top w:val="none" w:sz="0" w:space="0" w:color="auto"/>
                                    <w:left w:val="none" w:sz="0" w:space="0" w:color="auto"/>
                                    <w:bottom w:val="none" w:sz="0" w:space="0" w:color="auto"/>
                                    <w:right w:val="none" w:sz="0" w:space="0" w:color="auto"/>
                                  </w:divBdr>
                                  <w:divsChild>
                                    <w:div w:id="10031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1046">
                          <w:marLeft w:val="0"/>
                          <w:marRight w:val="0"/>
                          <w:marTop w:val="300"/>
                          <w:marBottom w:val="300"/>
                          <w:divBdr>
                            <w:top w:val="none" w:sz="0" w:space="0" w:color="auto"/>
                            <w:left w:val="none" w:sz="0" w:space="0" w:color="auto"/>
                            <w:bottom w:val="none" w:sz="0" w:space="0" w:color="auto"/>
                            <w:right w:val="none" w:sz="0" w:space="0" w:color="auto"/>
                          </w:divBdr>
                          <w:divsChild>
                            <w:div w:id="20606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9548">
          <w:marLeft w:val="0"/>
          <w:marRight w:val="0"/>
          <w:marTop w:val="0"/>
          <w:marBottom w:val="0"/>
          <w:divBdr>
            <w:top w:val="none" w:sz="0" w:space="0" w:color="auto"/>
            <w:left w:val="none" w:sz="0" w:space="0" w:color="auto"/>
            <w:bottom w:val="none" w:sz="0" w:space="0" w:color="auto"/>
            <w:right w:val="none" w:sz="0" w:space="0" w:color="auto"/>
          </w:divBdr>
          <w:divsChild>
            <w:div w:id="423385345">
              <w:marLeft w:val="0"/>
              <w:marRight w:val="0"/>
              <w:marTop w:val="0"/>
              <w:marBottom w:val="0"/>
              <w:divBdr>
                <w:top w:val="none" w:sz="0" w:space="0" w:color="auto"/>
                <w:left w:val="none" w:sz="0" w:space="0" w:color="auto"/>
                <w:bottom w:val="none" w:sz="0" w:space="0" w:color="auto"/>
                <w:right w:val="none" w:sz="0" w:space="0" w:color="auto"/>
              </w:divBdr>
              <w:divsChild>
                <w:div w:id="47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leginfo.legislature.ca.gov/faces/codes_displaySection.xhtml?lawCode=PROB&amp;sectionNum=4458." TargetMode="External"/><Relationship Id="rId21" Type="http://schemas.openxmlformats.org/officeDocument/2006/relationships/hyperlink" Target="https://leginfo.legislature.ca.gov/faces/codes_displaySection.xhtml?lawCode=PROB&amp;sectionNum=4459." TargetMode="External"/><Relationship Id="rId22" Type="http://schemas.openxmlformats.org/officeDocument/2006/relationships/hyperlink" Target="https://leginfo.legislature.ca.gov/faces/codes_displaySection.xhtml?lawCode=PROB&amp;sectionNum=4460." TargetMode="External"/><Relationship Id="rId23" Type="http://schemas.openxmlformats.org/officeDocument/2006/relationships/hyperlink" Target="https://leginfo.legislature.ca.gov/faces/codes_displaySection.xhtml?lawCode=PROB&amp;sectionNum=4461." TargetMode="External"/><Relationship Id="rId24" Type="http://schemas.openxmlformats.org/officeDocument/2006/relationships/hyperlink" Target="https://leginfo.legislature.ca.gov/faces/codes_displaySection.xhtml?lawCode=PROB&amp;sectionNum=4462." TargetMode="External"/><Relationship Id="rId25" Type="http://schemas.openxmlformats.org/officeDocument/2006/relationships/hyperlink" Target="https://leginfo.legislature.ca.gov/faces/codes_displaySection.xhtml?lawCode=PROB&amp;sectionNum=4463." TargetMode="External"/><Relationship Id="rId26" Type="http://schemas.openxmlformats.org/officeDocument/2006/relationships/hyperlink" Target="https://eforms.com/estate-planning/current-assets-list/" TargetMode="External"/><Relationship Id="rId27" Type="http://schemas.openxmlformats.org/officeDocument/2006/relationships/hyperlink" Target="https://eforms.com/wills/california-last-will-and-testament-template/" TargetMode="External"/><Relationship Id="rId28" Type="http://schemas.openxmlformats.org/officeDocument/2006/relationships/hyperlink" Target="https://leginfo.legislature.ca.gov/faces/codes_displaySection.xhtml?lawCode=PROB&amp;sectionNum=6110." TargetMode="External"/><Relationship Id="rId29" Type="http://schemas.openxmlformats.org/officeDocument/2006/relationships/hyperlink" Target="https://eforms.com/living-trust/ca/california-revocable-living-trust-for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leginfo.legislature.ca.gov/faces/codes_displayText.xhtml?division=9.&amp;chapter=1.&amp;part=2.&amp;lawCode=PROB" TargetMode="External"/><Relationship Id="rId31" Type="http://schemas.openxmlformats.org/officeDocument/2006/relationships/hyperlink" Target="http://leginfo.legislature.ca.gov/faces/codes_displayexpandedbranch.xhtml?tocCode=PROB&amp;division=4.7.&amp;title=&amp;part=2.&amp;chapter=&amp;article=" TargetMode="External"/><Relationship Id="rId32" Type="http://schemas.openxmlformats.org/officeDocument/2006/relationships/hyperlink" Target="http://leginfo.legislature.ca.gov/faces/codes_displayexpandedbranch.xhtml?tocCode=PROB&amp;division=4.5.&amp;title=&amp;part=&amp;chapter=&amp;article=" TargetMode="External"/><Relationship Id="rId9" Type="http://schemas.openxmlformats.org/officeDocument/2006/relationships/hyperlink" Target="http://leginfo.legislature.ca.gov/faces/codes_displaySection.xhtml?lawCode=PROB&amp;sectionNum=4674." TargetMode="External"/><Relationship Id="rId6" Type="http://schemas.openxmlformats.org/officeDocument/2006/relationships/endnotes" Target="endnotes.xml"/><Relationship Id="rId7" Type="http://schemas.openxmlformats.org/officeDocument/2006/relationships/hyperlink" Target="https://eforms.com/power-of-attorney/ca/california-advanced-health-care-directive/" TargetMode="External"/><Relationship Id="rId8" Type="http://schemas.openxmlformats.org/officeDocument/2006/relationships/hyperlink" Target="http://leginfo.legislature.ca.gov/faces/codes_displaySection.xhtml?lawCode=PROB&amp;sectionNum=4673." TargetMode="External"/><Relationship Id="rId33" Type="http://schemas.openxmlformats.org/officeDocument/2006/relationships/hyperlink" Target="http://leginfo.legislature.ca.gov/faces/codes_displayexpandedbranch.xhtml?tocCode=PROB&amp;division=6.&amp;title=&amp;part=1.&amp;chapter=&amp;article=" TargetMode="External"/><Relationship Id="rId34" Type="http://schemas.openxmlformats.org/officeDocument/2006/relationships/hyperlink" Target="http://leginfo.legislature.ca.gov/faces/codes_displayexpandedbranch.xhtml?tocCode=PROB&amp;division=9.&amp;title=&amp;part=&amp;chapter=&amp;article="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eforms.com/power-of-attorney/ca/california-durable-power-of-attorney-form/" TargetMode="External"/><Relationship Id="rId11" Type="http://schemas.openxmlformats.org/officeDocument/2006/relationships/hyperlink" Target="http://leginfo.legislature.ca.gov/faces/codes_displaySection.xhtml?lawCode=PROB&amp;sectionNum=4121." TargetMode="External"/><Relationship Id="rId12" Type="http://schemas.openxmlformats.org/officeDocument/2006/relationships/hyperlink" Target="http://leginfo.legislature.ca.gov/faces/codes_displaySection.xhtml?lawCode=PROB&amp;sectionNum=4122." TargetMode="External"/><Relationship Id="rId13" Type="http://schemas.openxmlformats.org/officeDocument/2006/relationships/hyperlink" Target="https://leginfo.legislature.ca.gov/faces/codes_displaySection.xhtml?lawCode=PROB&amp;sectionNum=4451." TargetMode="External"/><Relationship Id="rId14" Type="http://schemas.openxmlformats.org/officeDocument/2006/relationships/hyperlink" Target="https://leginfo.legislature.ca.gov/faces/codes_displaySection.xhtml?lawCode=PROB&amp;sectionNum=4452." TargetMode="External"/><Relationship Id="rId15" Type="http://schemas.openxmlformats.org/officeDocument/2006/relationships/hyperlink" Target="https://leginfo.legislature.ca.gov/faces/codes_displaySection.xhtml?lawCode=PROB&amp;sectionNum=4453." TargetMode="External"/><Relationship Id="rId16" Type="http://schemas.openxmlformats.org/officeDocument/2006/relationships/hyperlink" Target="https://leginfo.legislature.ca.gov/faces/codes_displaySection.xhtml?lawCode=PROB&amp;sectionNum=4454." TargetMode="External"/><Relationship Id="rId17" Type="http://schemas.openxmlformats.org/officeDocument/2006/relationships/hyperlink" Target="https://leginfo.legislature.ca.gov/faces/codes_displaySection.xhtml?lawCode=PROB&amp;sectionNum=4455." TargetMode="External"/><Relationship Id="rId18" Type="http://schemas.openxmlformats.org/officeDocument/2006/relationships/hyperlink" Target="https://leginfo.legislature.ca.gov/faces/codes_displaySection.xhtml?lawCode=PROB&amp;sectionNum=4456." TargetMode="External"/><Relationship Id="rId19" Type="http://schemas.openxmlformats.org/officeDocument/2006/relationships/hyperlink" Target="https://leginfo.legislature.ca.gov/faces/codes_displaySection.xhtml?lawCode=PROB&amp;sectionNum=4457." TargetMode="External"/><Relationship Id="rId3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1554</Words>
  <Characters>8473</Characters>
  <Application>Microsoft Macintosh Word</Application>
  <DocSecurity>0</DocSecurity>
  <Lines>169</Lines>
  <Paragraphs>74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Step 1 – Define Medical Requests</vt:lpstr>
      <vt:lpstr>        Step 2 – Establish Financial Preferences</vt:lpstr>
      <vt:lpstr>        Step 3 – Describe Assets in the Estate</vt:lpstr>
      <vt:lpstr>        Step 4 – Beneficiary Selection</vt:lpstr>
      <vt:lpstr>        </vt:lpstr>
      <vt:lpstr>        </vt:lpstr>
      <vt:lpstr>        Step 5 – Draft an Estate Distribution Document</vt:lpstr>
      <vt:lpstr>        Step 6 – Store the Estate Documents</vt:lpstr>
      <vt:lpstr>California Estate Planning Laws</vt:lpstr>
    </vt:vector>
  </TitlesOfParts>
  <Manager/>
  <Company/>
  <LinksUpToDate>false</LinksUpToDate>
  <CharactersWithSpaces>9953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Estate Planning Checklist</dc:title>
  <dc:subject/>
  <dc:creator>eForms</dc:creator>
  <cp:keywords/>
  <dc:description/>
  <cp:lastModifiedBy>Corbin Steele</cp:lastModifiedBy>
  <cp:revision>5</cp:revision>
  <dcterms:created xsi:type="dcterms:W3CDTF">2018-12-19T17:39:00Z</dcterms:created>
  <dcterms:modified xsi:type="dcterms:W3CDTF">2018-12-19T17:43:00Z</dcterms:modified>
  <cp:category/>
</cp:coreProperties>
</file>