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14799" w14:textId="77777777" w:rsidR="00302528" w:rsidRDefault="00302528" w:rsidP="00302528">
      <w:pPr>
        <w:jc w:val="center"/>
        <w:rPr>
          <w:rFonts w:ascii="Arial" w:hAnsi="Arial" w:cs="Arial"/>
          <w:b/>
          <w:bCs/>
          <w:sz w:val="36"/>
          <w:szCs w:val="36"/>
          <w:lang w:val="en-CA"/>
        </w:rPr>
      </w:pPr>
      <w:r w:rsidRPr="00302528">
        <w:rPr>
          <w:rFonts w:ascii="Arial" w:hAnsi="Arial" w:cs="Arial"/>
          <w:b/>
          <w:bCs/>
          <w:sz w:val="36"/>
          <w:szCs w:val="36"/>
          <w:lang w:val="en-CA"/>
        </w:rPr>
        <w:t>COLORADO ESTATE PLANNING CHECKLIST</w:t>
      </w:r>
    </w:p>
    <w:p w14:paraId="2DE491E6" w14:textId="77777777" w:rsidR="00302528" w:rsidRPr="00302528" w:rsidRDefault="00302528" w:rsidP="00302528">
      <w:pPr>
        <w:jc w:val="center"/>
        <w:rPr>
          <w:rFonts w:ascii="Arial" w:hAnsi="Arial" w:cs="Arial"/>
          <w:b/>
          <w:bCs/>
          <w:sz w:val="10"/>
          <w:szCs w:val="10"/>
          <w:lang w:val="en-CA"/>
        </w:rPr>
      </w:pPr>
    </w:p>
    <w:p w14:paraId="34BDEBD0" w14:textId="77777777" w:rsidR="00302528" w:rsidRPr="00302528" w:rsidRDefault="00302528" w:rsidP="00302528">
      <w:pPr>
        <w:shd w:val="clear" w:color="auto" w:fill="FFFFFF"/>
        <w:spacing w:before="200" w:after="200"/>
        <w:rPr>
          <w:rFonts w:ascii="Arial" w:hAnsi="Arial" w:cs="Arial"/>
          <w:color w:val="252525"/>
          <w:sz w:val="27"/>
          <w:szCs w:val="27"/>
          <w:lang w:eastAsia="zh-CN"/>
        </w:rPr>
      </w:pPr>
      <w:r w:rsidRPr="00302528">
        <w:rPr>
          <w:rFonts w:ascii="Arial" w:hAnsi="Arial" w:cs="Arial"/>
          <w:color w:val="252525"/>
          <w:sz w:val="27"/>
          <w:szCs w:val="27"/>
          <w:lang w:eastAsia="zh-CN"/>
        </w:rPr>
        <w:t>Navigating through the guide below will provide insight into the process of preparing one’s estate for possible illness and death. The documents available in this checklist should be reviewed by a licensed attorney before being signed or filed with the applicable government agencies.</w:t>
      </w:r>
    </w:p>
    <w:p w14:paraId="750C5A6F" w14:textId="77777777" w:rsidR="00302528" w:rsidRPr="00302528" w:rsidRDefault="00302528" w:rsidP="00302528">
      <w:pPr>
        <w:shd w:val="clear" w:color="auto" w:fill="FFFFFF"/>
        <w:spacing w:before="200" w:after="200" w:line="360" w:lineRule="atLeast"/>
        <w:outlineLvl w:val="2"/>
        <w:rPr>
          <w:rFonts w:ascii="Arial" w:eastAsia="Times New Roman" w:hAnsi="Arial" w:cs="Arial"/>
          <w:color w:val="252525"/>
          <w:sz w:val="32"/>
          <w:szCs w:val="32"/>
          <w:lang w:eastAsia="zh-CN"/>
        </w:rPr>
      </w:pPr>
      <w:r w:rsidRPr="00302528">
        <w:rPr>
          <w:rFonts w:ascii="Arial" w:eastAsia="Times New Roman" w:hAnsi="Arial" w:cs="Arial"/>
          <w:b/>
          <w:bCs/>
          <w:color w:val="252525"/>
          <w:sz w:val="32"/>
          <w:szCs w:val="32"/>
          <w:lang w:eastAsia="zh-CN"/>
        </w:rPr>
        <w:t>Step 1 – Choose a Health Care Surrogate</w:t>
      </w:r>
    </w:p>
    <w:p w14:paraId="75F6464A" w14:textId="77777777" w:rsidR="00302528" w:rsidRPr="00302528" w:rsidRDefault="00302528" w:rsidP="00302528">
      <w:pPr>
        <w:shd w:val="clear" w:color="auto" w:fill="FFFFFF"/>
        <w:spacing w:before="200" w:after="200"/>
        <w:rPr>
          <w:rFonts w:ascii="Arial" w:hAnsi="Arial" w:cs="Arial"/>
          <w:color w:val="252525"/>
          <w:sz w:val="27"/>
          <w:szCs w:val="27"/>
          <w:lang w:eastAsia="zh-CN"/>
        </w:rPr>
      </w:pPr>
      <w:r w:rsidRPr="00302528">
        <w:rPr>
          <w:rFonts w:ascii="Arial" w:hAnsi="Arial" w:cs="Arial"/>
          <w:color w:val="252525"/>
          <w:sz w:val="27"/>
          <w:szCs w:val="27"/>
          <w:lang w:eastAsia="zh-CN"/>
        </w:rPr>
        <w:t>Colorado residents should begin the estate planning process by choosing a </w:t>
      </w:r>
      <w:r w:rsidRPr="00302528">
        <w:rPr>
          <w:rFonts w:ascii="Arial" w:hAnsi="Arial" w:cs="Arial"/>
          <w:b/>
          <w:bCs/>
          <w:color w:val="252525"/>
          <w:sz w:val="27"/>
          <w:szCs w:val="27"/>
          <w:lang w:eastAsia="zh-CN"/>
        </w:rPr>
        <w:t>health care</w:t>
      </w:r>
      <w:r>
        <w:rPr>
          <w:rFonts w:ascii="Arial" w:hAnsi="Arial" w:cs="Arial"/>
          <w:b/>
          <w:bCs/>
          <w:color w:val="252525"/>
          <w:sz w:val="27"/>
          <w:szCs w:val="27"/>
          <w:lang w:eastAsia="zh-CN"/>
        </w:rPr>
        <w:t xml:space="preserve"> </w:t>
      </w:r>
      <w:r w:rsidRPr="00302528">
        <w:rPr>
          <w:rFonts w:ascii="Arial" w:hAnsi="Arial" w:cs="Arial"/>
          <w:b/>
          <w:bCs/>
          <w:color w:val="252525"/>
          <w:sz w:val="27"/>
          <w:szCs w:val="27"/>
          <w:lang w:eastAsia="zh-CN"/>
        </w:rPr>
        <w:t>surrogate</w:t>
      </w:r>
      <w:r w:rsidRPr="00302528">
        <w:rPr>
          <w:rFonts w:ascii="Arial" w:hAnsi="Arial" w:cs="Arial"/>
          <w:color w:val="252525"/>
          <w:sz w:val="27"/>
          <w:szCs w:val="27"/>
          <w:lang w:eastAsia="zh-CN"/>
        </w:rPr>
        <w:t> (a.k.a. health care agent). This individual will be responsible for communicating the principal’s health care wishes when he or she is unable to express their own decisions. Once selected, the health care surrogate will have permission to accept, refuse, or stop any medical care administered to the principal.</w:t>
      </w:r>
    </w:p>
    <w:p w14:paraId="03F3695E" w14:textId="77777777" w:rsidR="00302528" w:rsidRPr="00302528" w:rsidRDefault="00302528" w:rsidP="00302528">
      <w:pPr>
        <w:shd w:val="clear" w:color="auto" w:fill="FFFFFF"/>
        <w:spacing w:before="200" w:after="200"/>
        <w:rPr>
          <w:rFonts w:ascii="Arial" w:hAnsi="Arial" w:cs="Arial"/>
          <w:color w:val="252525"/>
          <w:sz w:val="27"/>
          <w:szCs w:val="27"/>
          <w:lang w:eastAsia="zh-CN"/>
        </w:rPr>
      </w:pPr>
      <w:hyperlink r:id="rId7" w:history="1">
        <w:r w:rsidRPr="00302528">
          <w:rPr>
            <w:rFonts w:ascii="Arial" w:hAnsi="Arial" w:cs="Arial"/>
            <w:color w:val="008CDD"/>
            <w:sz w:val="27"/>
            <w:szCs w:val="27"/>
            <w:u w:val="single"/>
            <w:lang w:eastAsia="zh-CN"/>
          </w:rPr>
          <w:t>Medical Durable Power of Attorney</w:t>
        </w:r>
      </w:hyperlink>
      <w:r w:rsidRPr="00302528">
        <w:rPr>
          <w:rFonts w:ascii="Arial" w:hAnsi="Arial" w:cs="Arial"/>
          <w:color w:val="252525"/>
          <w:sz w:val="27"/>
          <w:szCs w:val="27"/>
          <w:lang w:eastAsia="zh-CN"/>
        </w:rPr>
        <w:t> – This is the official document used to appoint the principal’s primary and alternate medical surrogates. It also allows the principal to specify instructions for the agent concerning any additional medical treatments, life-sustaining procedures, or other provisions they may require.</w:t>
      </w:r>
    </w:p>
    <w:p w14:paraId="2C1DDE97" w14:textId="77777777" w:rsidR="00302528" w:rsidRPr="00302528" w:rsidRDefault="00302528" w:rsidP="00302528">
      <w:pPr>
        <w:numPr>
          <w:ilvl w:val="0"/>
          <w:numId w:val="1"/>
        </w:numPr>
        <w:shd w:val="clear" w:color="auto" w:fill="FFFFFF"/>
        <w:spacing w:before="200" w:after="200" w:line="300" w:lineRule="atLeast"/>
        <w:ind w:left="375"/>
        <w:rPr>
          <w:rFonts w:ascii="Arial" w:eastAsia="Times New Roman" w:hAnsi="Arial" w:cs="Arial"/>
          <w:color w:val="252525"/>
          <w:sz w:val="27"/>
          <w:szCs w:val="27"/>
          <w:lang w:eastAsia="zh-CN"/>
        </w:rPr>
      </w:pPr>
      <w:r w:rsidRPr="00302528">
        <w:rPr>
          <w:rFonts w:ascii="Arial" w:eastAsia="Times New Roman" w:hAnsi="Arial" w:cs="Arial"/>
          <w:b/>
          <w:bCs/>
          <w:color w:val="252525"/>
          <w:sz w:val="27"/>
          <w:szCs w:val="27"/>
          <w:lang w:eastAsia="zh-CN"/>
        </w:rPr>
        <w:t>Signing Requirements </w:t>
      </w:r>
      <w:r w:rsidRPr="00302528">
        <w:rPr>
          <w:rFonts w:ascii="Arial" w:eastAsia="Times New Roman" w:hAnsi="Arial" w:cs="Arial"/>
          <w:color w:val="252525"/>
          <w:sz w:val="27"/>
          <w:szCs w:val="27"/>
          <w:lang w:eastAsia="zh-CN"/>
        </w:rPr>
        <w:t>(</w:t>
      </w:r>
      <w:hyperlink r:id="rId8" w:tgtFrame="_blank" w:history="1">
        <w:r w:rsidRPr="00302528">
          <w:rPr>
            <w:rFonts w:ascii="Arial" w:eastAsia="Times New Roman" w:hAnsi="Arial" w:cs="Arial"/>
            <w:color w:val="008CDD"/>
            <w:sz w:val="27"/>
            <w:szCs w:val="27"/>
            <w:u w:val="single"/>
            <w:lang w:eastAsia="zh-CN"/>
          </w:rPr>
          <w:t>§ 15-14-705</w:t>
        </w:r>
      </w:hyperlink>
      <w:r w:rsidRPr="00302528">
        <w:rPr>
          <w:rFonts w:ascii="Arial" w:eastAsia="Times New Roman" w:hAnsi="Arial" w:cs="Arial"/>
          <w:color w:val="252525"/>
          <w:sz w:val="27"/>
          <w:szCs w:val="27"/>
          <w:lang w:eastAsia="zh-CN"/>
        </w:rPr>
        <w:t>) – Requires the principal’s signature or the signature of another individual directed by the principal to sign on their behalf. While not legally required, the form should be signed in the presence of two (2) disinterested witnesses and notarized by an officer of the State.</w:t>
      </w:r>
    </w:p>
    <w:p w14:paraId="10F11D7A" w14:textId="77777777" w:rsidR="00302528" w:rsidRPr="00302528" w:rsidRDefault="00302528" w:rsidP="00302528">
      <w:pPr>
        <w:shd w:val="clear" w:color="auto" w:fill="FFFFFF"/>
        <w:spacing w:before="200" w:after="200" w:line="360" w:lineRule="atLeast"/>
        <w:outlineLvl w:val="2"/>
        <w:rPr>
          <w:rFonts w:ascii="Arial" w:eastAsia="Times New Roman" w:hAnsi="Arial" w:cs="Arial"/>
          <w:color w:val="252525"/>
          <w:sz w:val="32"/>
          <w:szCs w:val="32"/>
          <w:lang w:eastAsia="zh-CN"/>
        </w:rPr>
      </w:pPr>
      <w:r w:rsidRPr="00302528">
        <w:rPr>
          <w:rFonts w:ascii="Arial" w:eastAsia="Times New Roman" w:hAnsi="Arial" w:cs="Arial"/>
          <w:b/>
          <w:bCs/>
          <w:color w:val="252525"/>
          <w:sz w:val="32"/>
          <w:szCs w:val="32"/>
          <w:lang w:eastAsia="zh-CN"/>
        </w:rPr>
        <w:t>Step 2 – Choose a Financial Agent</w:t>
      </w:r>
    </w:p>
    <w:p w14:paraId="0D0483E6" w14:textId="77777777" w:rsidR="00302528" w:rsidRPr="00302528" w:rsidRDefault="00302528" w:rsidP="00302528">
      <w:pPr>
        <w:shd w:val="clear" w:color="auto" w:fill="FFFFFF"/>
        <w:spacing w:before="200" w:after="200"/>
        <w:rPr>
          <w:rFonts w:ascii="Arial" w:hAnsi="Arial" w:cs="Arial"/>
          <w:color w:val="252525"/>
          <w:sz w:val="27"/>
          <w:szCs w:val="27"/>
          <w:lang w:eastAsia="zh-CN"/>
        </w:rPr>
      </w:pPr>
      <w:r w:rsidRPr="00302528">
        <w:rPr>
          <w:rFonts w:ascii="Arial" w:hAnsi="Arial" w:cs="Arial"/>
          <w:color w:val="252525"/>
          <w:sz w:val="27"/>
          <w:szCs w:val="27"/>
          <w:lang w:eastAsia="zh-CN"/>
        </w:rPr>
        <w:t>The principal can continue by electing another party known as a </w:t>
      </w:r>
      <w:r w:rsidRPr="00302528">
        <w:rPr>
          <w:rFonts w:ascii="Arial" w:hAnsi="Arial" w:cs="Arial"/>
          <w:b/>
          <w:bCs/>
          <w:color w:val="252525"/>
          <w:sz w:val="27"/>
          <w:szCs w:val="27"/>
          <w:lang w:eastAsia="zh-CN"/>
        </w:rPr>
        <w:t>financial agent</w:t>
      </w:r>
      <w:r w:rsidRPr="00302528">
        <w:rPr>
          <w:rFonts w:ascii="Arial" w:hAnsi="Arial" w:cs="Arial"/>
          <w:color w:val="252525"/>
          <w:sz w:val="27"/>
          <w:szCs w:val="27"/>
          <w:lang w:eastAsia="zh-CN"/>
        </w:rPr>
        <w:t>. This individual will make decisions regarding the principal’s property and finances. Like the health care surrogate, the decision-making authority of the financial agent can be used even when the principal experiences a medical condition that leaves them unable to make competent decisions.</w:t>
      </w:r>
    </w:p>
    <w:p w14:paraId="0144D956" w14:textId="77777777" w:rsidR="00302528" w:rsidRPr="00302528" w:rsidRDefault="00302528" w:rsidP="00302528">
      <w:pPr>
        <w:shd w:val="clear" w:color="auto" w:fill="FFFFFF"/>
        <w:spacing w:before="200" w:after="200"/>
        <w:rPr>
          <w:rFonts w:ascii="Arial" w:hAnsi="Arial" w:cs="Arial"/>
          <w:color w:val="252525"/>
          <w:sz w:val="27"/>
          <w:szCs w:val="27"/>
          <w:lang w:eastAsia="zh-CN"/>
        </w:rPr>
      </w:pPr>
      <w:hyperlink r:id="rId9" w:history="1">
        <w:r w:rsidRPr="00302528">
          <w:rPr>
            <w:rFonts w:ascii="Arial" w:hAnsi="Arial" w:cs="Arial"/>
            <w:color w:val="008CDD"/>
            <w:sz w:val="27"/>
            <w:szCs w:val="27"/>
            <w:u w:val="single"/>
            <w:lang w:eastAsia="zh-CN"/>
          </w:rPr>
          <w:t>Durable (Financial) Power of Attorney</w:t>
        </w:r>
      </w:hyperlink>
      <w:r w:rsidRPr="00302528">
        <w:rPr>
          <w:rFonts w:ascii="Arial" w:hAnsi="Arial" w:cs="Arial"/>
          <w:color w:val="252525"/>
          <w:sz w:val="27"/>
          <w:szCs w:val="27"/>
          <w:lang w:eastAsia="zh-CN"/>
        </w:rPr>
        <w:t> – This document designates the principal’s financial agent and defines the powers with which the agent may operate.</w:t>
      </w:r>
    </w:p>
    <w:p w14:paraId="4952765C" w14:textId="77777777" w:rsidR="00302528" w:rsidRPr="00302528" w:rsidRDefault="00302528" w:rsidP="00302528">
      <w:pPr>
        <w:numPr>
          <w:ilvl w:val="0"/>
          <w:numId w:val="2"/>
        </w:numPr>
        <w:shd w:val="clear" w:color="auto" w:fill="FFFFFF"/>
        <w:spacing w:before="200" w:after="200" w:line="300" w:lineRule="atLeast"/>
        <w:ind w:left="375"/>
        <w:rPr>
          <w:rFonts w:ascii="Arial" w:eastAsia="Times New Roman" w:hAnsi="Arial" w:cs="Arial"/>
          <w:color w:val="252525"/>
          <w:sz w:val="27"/>
          <w:szCs w:val="27"/>
          <w:lang w:eastAsia="zh-CN"/>
        </w:rPr>
      </w:pPr>
      <w:r w:rsidRPr="00302528">
        <w:rPr>
          <w:rFonts w:ascii="Arial" w:eastAsia="Times New Roman" w:hAnsi="Arial" w:cs="Arial"/>
          <w:b/>
          <w:bCs/>
          <w:color w:val="252525"/>
          <w:sz w:val="27"/>
          <w:szCs w:val="27"/>
          <w:lang w:eastAsia="zh-CN"/>
        </w:rPr>
        <w:t>Signing Requirements </w:t>
      </w:r>
      <w:r w:rsidRPr="00302528">
        <w:rPr>
          <w:rFonts w:ascii="Arial" w:eastAsia="Times New Roman" w:hAnsi="Arial" w:cs="Arial"/>
          <w:color w:val="252525"/>
          <w:sz w:val="27"/>
          <w:szCs w:val="27"/>
          <w:lang w:eastAsia="zh-CN"/>
        </w:rPr>
        <w:t>(</w:t>
      </w:r>
      <w:hyperlink r:id="rId10" w:tgtFrame="_blank" w:history="1">
        <w:r w:rsidRPr="00302528">
          <w:rPr>
            <w:rFonts w:ascii="Arial" w:eastAsia="Times New Roman" w:hAnsi="Arial" w:cs="Arial"/>
            <w:color w:val="008CDD"/>
            <w:sz w:val="27"/>
            <w:szCs w:val="27"/>
            <w:u w:val="single"/>
            <w:lang w:eastAsia="zh-CN"/>
          </w:rPr>
          <w:t>§ 15-14-705</w:t>
        </w:r>
      </w:hyperlink>
      <w:r w:rsidRPr="00302528">
        <w:rPr>
          <w:rFonts w:ascii="Arial" w:eastAsia="Times New Roman" w:hAnsi="Arial" w:cs="Arial"/>
          <w:color w:val="252525"/>
          <w:sz w:val="27"/>
          <w:szCs w:val="27"/>
          <w:lang w:eastAsia="zh-CN"/>
        </w:rPr>
        <w:t>) – Only requires the principal’s signature. That being said, individuals are always encouraged to sign in the presence of two (2) disinterested witnesses and have the signature auth</w:t>
      </w:r>
      <w:bookmarkStart w:id="0" w:name="_GoBack"/>
      <w:bookmarkEnd w:id="0"/>
      <w:r w:rsidRPr="00302528">
        <w:rPr>
          <w:rFonts w:ascii="Arial" w:eastAsia="Times New Roman" w:hAnsi="Arial" w:cs="Arial"/>
          <w:color w:val="252525"/>
          <w:sz w:val="27"/>
          <w:szCs w:val="27"/>
          <w:lang w:eastAsia="zh-CN"/>
        </w:rPr>
        <w:t>enticated by a notary public.</w:t>
      </w:r>
    </w:p>
    <w:p w14:paraId="7B937126" w14:textId="77777777" w:rsidR="00302528" w:rsidRPr="00302528" w:rsidRDefault="00302528" w:rsidP="00302528">
      <w:pPr>
        <w:shd w:val="clear" w:color="auto" w:fill="FFFFFF"/>
        <w:rPr>
          <w:rFonts w:ascii="Arial" w:hAnsi="Arial" w:cs="Arial"/>
          <w:color w:val="252525"/>
          <w:sz w:val="27"/>
          <w:szCs w:val="27"/>
          <w:lang w:eastAsia="zh-CN"/>
        </w:rPr>
      </w:pPr>
      <w:r w:rsidRPr="00302528">
        <w:rPr>
          <w:rFonts w:ascii="Arial" w:hAnsi="Arial" w:cs="Arial"/>
          <w:b/>
          <w:bCs/>
          <w:color w:val="252525"/>
          <w:sz w:val="27"/>
          <w:szCs w:val="27"/>
          <w:lang w:eastAsia="zh-CN"/>
        </w:rPr>
        <w:lastRenderedPageBreak/>
        <w:t>Financial Powers Allowed </w:t>
      </w:r>
    </w:p>
    <w:p w14:paraId="6268C047" w14:textId="77777777" w:rsidR="00302528" w:rsidRPr="00302528" w:rsidRDefault="00302528" w:rsidP="00302528">
      <w:pPr>
        <w:numPr>
          <w:ilvl w:val="0"/>
          <w:numId w:val="3"/>
        </w:numPr>
        <w:shd w:val="clear" w:color="auto" w:fill="FFFFFF"/>
        <w:spacing w:line="300" w:lineRule="atLeast"/>
        <w:ind w:left="375"/>
        <w:rPr>
          <w:rFonts w:ascii="Arial" w:eastAsia="Times New Roman" w:hAnsi="Arial" w:cs="Arial"/>
          <w:color w:val="252525"/>
          <w:sz w:val="27"/>
          <w:szCs w:val="27"/>
          <w:lang w:eastAsia="zh-CN"/>
        </w:rPr>
      </w:pPr>
      <w:r w:rsidRPr="00302528">
        <w:rPr>
          <w:rFonts w:ascii="Arial" w:eastAsia="Times New Roman" w:hAnsi="Arial" w:cs="Arial"/>
          <w:color w:val="252525"/>
          <w:sz w:val="27"/>
          <w:szCs w:val="27"/>
          <w:lang w:eastAsia="zh-CN"/>
        </w:rPr>
        <w:t>Real Property (</w:t>
      </w:r>
      <w:hyperlink r:id="rId11" w:tgtFrame="_blank" w:history="1">
        <w:r w:rsidRPr="00302528">
          <w:rPr>
            <w:rFonts w:ascii="Arial" w:eastAsia="Times New Roman" w:hAnsi="Arial" w:cs="Arial"/>
            <w:color w:val="008CDD"/>
            <w:sz w:val="27"/>
            <w:szCs w:val="27"/>
            <w:u w:val="single"/>
            <w:lang w:eastAsia="zh-CN"/>
          </w:rPr>
          <w:t>§ 15-14-727</w:t>
        </w:r>
      </w:hyperlink>
      <w:r w:rsidRPr="00302528">
        <w:rPr>
          <w:rFonts w:ascii="Arial" w:eastAsia="Times New Roman" w:hAnsi="Arial" w:cs="Arial"/>
          <w:color w:val="252525"/>
          <w:sz w:val="27"/>
          <w:szCs w:val="27"/>
          <w:lang w:eastAsia="zh-CN"/>
        </w:rPr>
        <w:t>);</w:t>
      </w:r>
    </w:p>
    <w:p w14:paraId="67A55F33" w14:textId="77777777" w:rsidR="00302528" w:rsidRPr="00302528" w:rsidRDefault="00302528" w:rsidP="00302528">
      <w:pPr>
        <w:numPr>
          <w:ilvl w:val="0"/>
          <w:numId w:val="3"/>
        </w:numPr>
        <w:shd w:val="clear" w:color="auto" w:fill="FFFFFF"/>
        <w:spacing w:line="300" w:lineRule="atLeast"/>
        <w:ind w:left="375"/>
        <w:rPr>
          <w:rFonts w:ascii="Arial" w:eastAsia="Times New Roman" w:hAnsi="Arial" w:cs="Arial"/>
          <w:color w:val="252525"/>
          <w:sz w:val="27"/>
          <w:szCs w:val="27"/>
          <w:lang w:eastAsia="zh-CN"/>
        </w:rPr>
      </w:pPr>
      <w:r w:rsidRPr="00302528">
        <w:rPr>
          <w:rFonts w:ascii="Arial" w:eastAsia="Times New Roman" w:hAnsi="Arial" w:cs="Arial"/>
          <w:color w:val="252525"/>
          <w:sz w:val="27"/>
          <w:szCs w:val="27"/>
          <w:lang w:eastAsia="zh-CN"/>
        </w:rPr>
        <w:t>Tangible Personal Property (</w:t>
      </w:r>
      <w:hyperlink r:id="rId12" w:tgtFrame="_blank" w:history="1">
        <w:r w:rsidRPr="00302528">
          <w:rPr>
            <w:rFonts w:ascii="Arial" w:eastAsia="Times New Roman" w:hAnsi="Arial" w:cs="Arial"/>
            <w:color w:val="008CDD"/>
            <w:sz w:val="27"/>
            <w:szCs w:val="27"/>
            <w:u w:val="single"/>
            <w:lang w:eastAsia="zh-CN"/>
          </w:rPr>
          <w:t>§ 15-14-728</w:t>
        </w:r>
      </w:hyperlink>
      <w:r w:rsidRPr="00302528">
        <w:rPr>
          <w:rFonts w:ascii="Arial" w:eastAsia="Times New Roman" w:hAnsi="Arial" w:cs="Arial"/>
          <w:color w:val="252525"/>
          <w:sz w:val="27"/>
          <w:szCs w:val="27"/>
          <w:lang w:eastAsia="zh-CN"/>
        </w:rPr>
        <w:t>);</w:t>
      </w:r>
    </w:p>
    <w:p w14:paraId="4E420796" w14:textId="77777777" w:rsidR="00302528" w:rsidRPr="00302528" w:rsidRDefault="00302528" w:rsidP="00302528">
      <w:pPr>
        <w:numPr>
          <w:ilvl w:val="0"/>
          <w:numId w:val="3"/>
        </w:numPr>
        <w:shd w:val="clear" w:color="auto" w:fill="FFFFFF"/>
        <w:spacing w:line="300" w:lineRule="atLeast"/>
        <w:ind w:left="375"/>
        <w:rPr>
          <w:rFonts w:ascii="Arial" w:eastAsia="Times New Roman" w:hAnsi="Arial" w:cs="Arial"/>
          <w:color w:val="252525"/>
          <w:sz w:val="27"/>
          <w:szCs w:val="27"/>
          <w:lang w:eastAsia="zh-CN"/>
        </w:rPr>
      </w:pPr>
      <w:r w:rsidRPr="00302528">
        <w:rPr>
          <w:rFonts w:ascii="Arial" w:eastAsia="Times New Roman" w:hAnsi="Arial" w:cs="Arial"/>
          <w:color w:val="252525"/>
          <w:sz w:val="27"/>
          <w:szCs w:val="27"/>
          <w:lang w:eastAsia="zh-CN"/>
        </w:rPr>
        <w:t>Stocks and Bonds (</w:t>
      </w:r>
      <w:hyperlink r:id="rId13" w:tgtFrame="_blank" w:history="1">
        <w:r w:rsidRPr="00302528">
          <w:rPr>
            <w:rFonts w:ascii="Arial" w:eastAsia="Times New Roman" w:hAnsi="Arial" w:cs="Arial"/>
            <w:color w:val="008CDD"/>
            <w:sz w:val="27"/>
            <w:szCs w:val="27"/>
            <w:u w:val="single"/>
            <w:lang w:eastAsia="zh-CN"/>
          </w:rPr>
          <w:t>§ 15-14-729</w:t>
        </w:r>
      </w:hyperlink>
      <w:r w:rsidRPr="00302528">
        <w:rPr>
          <w:rFonts w:ascii="Arial" w:eastAsia="Times New Roman" w:hAnsi="Arial" w:cs="Arial"/>
          <w:color w:val="252525"/>
          <w:sz w:val="27"/>
          <w:szCs w:val="27"/>
          <w:lang w:eastAsia="zh-CN"/>
        </w:rPr>
        <w:t>);</w:t>
      </w:r>
    </w:p>
    <w:p w14:paraId="5629DA16" w14:textId="77777777" w:rsidR="00302528" w:rsidRPr="00302528" w:rsidRDefault="00302528" w:rsidP="00302528">
      <w:pPr>
        <w:numPr>
          <w:ilvl w:val="0"/>
          <w:numId w:val="3"/>
        </w:numPr>
        <w:shd w:val="clear" w:color="auto" w:fill="FFFFFF"/>
        <w:spacing w:line="300" w:lineRule="atLeast"/>
        <w:ind w:left="375"/>
        <w:rPr>
          <w:rFonts w:ascii="Arial" w:eastAsia="Times New Roman" w:hAnsi="Arial" w:cs="Arial"/>
          <w:color w:val="252525"/>
          <w:sz w:val="27"/>
          <w:szCs w:val="27"/>
          <w:lang w:eastAsia="zh-CN"/>
        </w:rPr>
      </w:pPr>
      <w:r w:rsidRPr="00302528">
        <w:rPr>
          <w:rFonts w:ascii="Arial" w:eastAsia="Times New Roman" w:hAnsi="Arial" w:cs="Arial"/>
          <w:color w:val="252525"/>
          <w:sz w:val="27"/>
          <w:szCs w:val="27"/>
          <w:lang w:eastAsia="zh-CN"/>
        </w:rPr>
        <w:t>Commodities and Options (</w:t>
      </w:r>
      <w:hyperlink r:id="rId14" w:tgtFrame="_blank" w:history="1">
        <w:r w:rsidRPr="00302528">
          <w:rPr>
            <w:rFonts w:ascii="Arial" w:eastAsia="Times New Roman" w:hAnsi="Arial" w:cs="Arial"/>
            <w:color w:val="008CDD"/>
            <w:sz w:val="27"/>
            <w:szCs w:val="27"/>
            <w:u w:val="single"/>
            <w:lang w:eastAsia="zh-CN"/>
          </w:rPr>
          <w:t>§ 15-14-730</w:t>
        </w:r>
      </w:hyperlink>
      <w:r w:rsidRPr="00302528">
        <w:rPr>
          <w:rFonts w:ascii="Arial" w:eastAsia="Times New Roman" w:hAnsi="Arial" w:cs="Arial"/>
          <w:color w:val="252525"/>
          <w:sz w:val="27"/>
          <w:szCs w:val="27"/>
          <w:lang w:eastAsia="zh-CN"/>
        </w:rPr>
        <w:t>);</w:t>
      </w:r>
    </w:p>
    <w:p w14:paraId="1EA05A9B" w14:textId="77777777" w:rsidR="00302528" w:rsidRPr="00302528" w:rsidRDefault="00302528" w:rsidP="00302528">
      <w:pPr>
        <w:numPr>
          <w:ilvl w:val="0"/>
          <w:numId w:val="3"/>
        </w:numPr>
        <w:shd w:val="clear" w:color="auto" w:fill="FFFFFF"/>
        <w:spacing w:line="300" w:lineRule="atLeast"/>
        <w:ind w:left="375"/>
        <w:rPr>
          <w:rFonts w:ascii="Arial" w:eastAsia="Times New Roman" w:hAnsi="Arial" w:cs="Arial"/>
          <w:color w:val="252525"/>
          <w:sz w:val="27"/>
          <w:szCs w:val="27"/>
          <w:lang w:eastAsia="zh-CN"/>
        </w:rPr>
      </w:pPr>
      <w:r w:rsidRPr="00302528">
        <w:rPr>
          <w:rFonts w:ascii="Arial" w:eastAsia="Times New Roman" w:hAnsi="Arial" w:cs="Arial"/>
          <w:color w:val="252525"/>
          <w:sz w:val="27"/>
          <w:szCs w:val="27"/>
          <w:lang w:eastAsia="zh-CN"/>
        </w:rPr>
        <w:t>Banks and Other Financial Institutions (</w:t>
      </w:r>
      <w:hyperlink r:id="rId15" w:tgtFrame="_blank" w:history="1">
        <w:r w:rsidRPr="00302528">
          <w:rPr>
            <w:rFonts w:ascii="Arial" w:eastAsia="Times New Roman" w:hAnsi="Arial" w:cs="Arial"/>
            <w:color w:val="008CDD"/>
            <w:sz w:val="27"/>
            <w:szCs w:val="27"/>
            <w:u w:val="single"/>
            <w:lang w:eastAsia="zh-CN"/>
          </w:rPr>
          <w:t>§ 15-14-731</w:t>
        </w:r>
      </w:hyperlink>
      <w:r w:rsidRPr="00302528">
        <w:rPr>
          <w:rFonts w:ascii="Arial" w:eastAsia="Times New Roman" w:hAnsi="Arial" w:cs="Arial"/>
          <w:color w:val="252525"/>
          <w:sz w:val="27"/>
          <w:szCs w:val="27"/>
          <w:lang w:eastAsia="zh-CN"/>
        </w:rPr>
        <w:t>);</w:t>
      </w:r>
    </w:p>
    <w:p w14:paraId="08C0B345" w14:textId="77777777" w:rsidR="00302528" w:rsidRPr="00302528" w:rsidRDefault="00302528" w:rsidP="00302528">
      <w:pPr>
        <w:numPr>
          <w:ilvl w:val="0"/>
          <w:numId w:val="3"/>
        </w:numPr>
        <w:shd w:val="clear" w:color="auto" w:fill="FFFFFF"/>
        <w:spacing w:line="300" w:lineRule="atLeast"/>
        <w:ind w:left="375"/>
        <w:rPr>
          <w:rFonts w:ascii="Arial" w:eastAsia="Times New Roman" w:hAnsi="Arial" w:cs="Arial"/>
          <w:color w:val="252525"/>
          <w:sz w:val="27"/>
          <w:szCs w:val="27"/>
          <w:lang w:eastAsia="zh-CN"/>
        </w:rPr>
      </w:pPr>
      <w:r w:rsidRPr="00302528">
        <w:rPr>
          <w:rFonts w:ascii="Arial" w:eastAsia="Times New Roman" w:hAnsi="Arial" w:cs="Arial"/>
          <w:color w:val="252525"/>
          <w:sz w:val="27"/>
          <w:szCs w:val="27"/>
          <w:lang w:eastAsia="zh-CN"/>
        </w:rPr>
        <w:t>Operation of Entity or Business (</w:t>
      </w:r>
      <w:hyperlink r:id="rId16" w:tgtFrame="_blank" w:history="1">
        <w:r w:rsidRPr="00302528">
          <w:rPr>
            <w:rFonts w:ascii="Arial" w:eastAsia="Times New Roman" w:hAnsi="Arial" w:cs="Arial"/>
            <w:color w:val="008CDD"/>
            <w:sz w:val="27"/>
            <w:szCs w:val="27"/>
            <w:u w:val="single"/>
            <w:lang w:eastAsia="zh-CN"/>
          </w:rPr>
          <w:t>§ 15-14-732</w:t>
        </w:r>
      </w:hyperlink>
      <w:r w:rsidRPr="00302528">
        <w:rPr>
          <w:rFonts w:ascii="Arial" w:eastAsia="Times New Roman" w:hAnsi="Arial" w:cs="Arial"/>
          <w:color w:val="252525"/>
          <w:sz w:val="27"/>
          <w:szCs w:val="27"/>
          <w:lang w:eastAsia="zh-CN"/>
        </w:rPr>
        <w:t>);</w:t>
      </w:r>
    </w:p>
    <w:p w14:paraId="63AA1211" w14:textId="77777777" w:rsidR="00302528" w:rsidRPr="00302528" w:rsidRDefault="00302528" w:rsidP="00302528">
      <w:pPr>
        <w:numPr>
          <w:ilvl w:val="0"/>
          <w:numId w:val="3"/>
        </w:numPr>
        <w:shd w:val="clear" w:color="auto" w:fill="FFFFFF"/>
        <w:spacing w:line="300" w:lineRule="atLeast"/>
        <w:ind w:left="375"/>
        <w:rPr>
          <w:rFonts w:ascii="Arial" w:eastAsia="Times New Roman" w:hAnsi="Arial" w:cs="Arial"/>
          <w:color w:val="252525"/>
          <w:sz w:val="27"/>
          <w:szCs w:val="27"/>
          <w:lang w:eastAsia="zh-CN"/>
        </w:rPr>
      </w:pPr>
      <w:r w:rsidRPr="00302528">
        <w:rPr>
          <w:rFonts w:ascii="Arial" w:eastAsia="Times New Roman" w:hAnsi="Arial" w:cs="Arial"/>
          <w:color w:val="252525"/>
          <w:sz w:val="27"/>
          <w:szCs w:val="27"/>
          <w:lang w:eastAsia="zh-CN"/>
        </w:rPr>
        <w:t>Insurance and Annuities (</w:t>
      </w:r>
      <w:hyperlink r:id="rId17" w:tgtFrame="_blank" w:history="1">
        <w:r w:rsidRPr="00302528">
          <w:rPr>
            <w:rFonts w:ascii="Arial" w:eastAsia="Times New Roman" w:hAnsi="Arial" w:cs="Arial"/>
            <w:color w:val="008CDD"/>
            <w:sz w:val="27"/>
            <w:szCs w:val="27"/>
            <w:u w:val="single"/>
            <w:lang w:eastAsia="zh-CN"/>
          </w:rPr>
          <w:t>§ 15-14-733</w:t>
        </w:r>
      </w:hyperlink>
      <w:r w:rsidRPr="00302528">
        <w:rPr>
          <w:rFonts w:ascii="Arial" w:eastAsia="Times New Roman" w:hAnsi="Arial" w:cs="Arial"/>
          <w:color w:val="252525"/>
          <w:sz w:val="27"/>
          <w:szCs w:val="27"/>
          <w:lang w:eastAsia="zh-CN"/>
        </w:rPr>
        <w:t>);</w:t>
      </w:r>
    </w:p>
    <w:p w14:paraId="0E83F244" w14:textId="77777777" w:rsidR="00302528" w:rsidRPr="00302528" w:rsidRDefault="00302528" w:rsidP="00302528">
      <w:pPr>
        <w:numPr>
          <w:ilvl w:val="0"/>
          <w:numId w:val="3"/>
        </w:numPr>
        <w:shd w:val="clear" w:color="auto" w:fill="FFFFFF"/>
        <w:spacing w:line="300" w:lineRule="atLeast"/>
        <w:ind w:left="375"/>
        <w:rPr>
          <w:rFonts w:ascii="Arial" w:eastAsia="Times New Roman" w:hAnsi="Arial" w:cs="Arial"/>
          <w:color w:val="252525"/>
          <w:sz w:val="27"/>
          <w:szCs w:val="27"/>
          <w:lang w:eastAsia="zh-CN"/>
        </w:rPr>
      </w:pPr>
      <w:r w:rsidRPr="00302528">
        <w:rPr>
          <w:rFonts w:ascii="Arial" w:eastAsia="Times New Roman" w:hAnsi="Arial" w:cs="Arial"/>
          <w:color w:val="252525"/>
          <w:sz w:val="27"/>
          <w:szCs w:val="27"/>
          <w:lang w:eastAsia="zh-CN"/>
        </w:rPr>
        <w:t>Estates, Trusts, and Other Beneficial Interests (</w:t>
      </w:r>
      <w:hyperlink r:id="rId18" w:tgtFrame="_blank" w:history="1">
        <w:r w:rsidRPr="00302528">
          <w:rPr>
            <w:rFonts w:ascii="Arial" w:eastAsia="Times New Roman" w:hAnsi="Arial" w:cs="Arial"/>
            <w:color w:val="008CDD"/>
            <w:sz w:val="27"/>
            <w:szCs w:val="27"/>
            <w:u w:val="single"/>
            <w:lang w:eastAsia="zh-CN"/>
          </w:rPr>
          <w:t>§ 15-14-734</w:t>
        </w:r>
      </w:hyperlink>
      <w:r w:rsidRPr="00302528">
        <w:rPr>
          <w:rFonts w:ascii="Arial" w:eastAsia="Times New Roman" w:hAnsi="Arial" w:cs="Arial"/>
          <w:color w:val="252525"/>
          <w:sz w:val="27"/>
          <w:szCs w:val="27"/>
          <w:lang w:eastAsia="zh-CN"/>
        </w:rPr>
        <w:t>);</w:t>
      </w:r>
    </w:p>
    <w:p w14:paraId="76F1D73E" w14:textId="77777777" w:rsidR="00302528" w:rsidRPr="00302528" w:rsidRDefault="00302528" w:rsidP="00302528">
      <w:pPr>
        <w:numPr>
          <w:ilvl w:val="0"/>
          <w:numId w:val="3"/>
        </w:numPr>
        <w:shd w:val="clear" w:color="auto" w:fill="FFFFFF"/>
        <w:spacing w:line="300" w:lineRule="atLeast"/>
        <w:ind w:left="375"/>
        <w:rPr>
          <w:rFonts w:ascii="Arial" w:eastAsia="Times New Roman" w:hAnsi="Arial" w:cs="Arial"/>
          <w:color w:val="252525"/>
          <w:sz w:val="27"/>
          <w:szCs w:val="27"/>
          <w:lang w:eastAsia="zh-CN"/>
        </w:rPr>
      </w:pPr>
      <w:r w:rsidRPr="00302528">
        <w:rPr>
          <w:rFonts w:ascii="Arial" w:eastAsia="Times New Roman" w:hAnsi="Arial" w:cs="Arial"/>
          <w:color w:val="252525"/>
          <w:sz w:val="27"/>
          <w:szCs w:val="27"/>
          <w:lang w:eastAsia="zh-CN"/>
        </w:rPr>
        <w:t>Claims and Litigation (</w:t>
      </w:r>
      <w:hyperlink r:id="rId19" w:tgtFrame="_blank" w:history="1">
        <w:r w:rsidRPr="00302528">
          <w:rPr>
            <w:rFonts w:ascii="Arial" w:eastAsia="Times New Roman" w:hAnsi="Arial" w:cs="Arial"/>
            <w:color w:val="008CDD"/>
            <w:sz w:val="27"/>
            <w:szCs w:val="27"/>
            <w:u w:val="single"/>
            <w:lang w:eastAsia="zh-CN"/>
          </w:rPr>
          <w:t>§ 15-14-735</w:t>
        </w:r>
      </w:hyperlink>
      <w:r w:rsidRPr="00302528">
        <w:rPr>
          <w:rFonts w:ascii="Arial" w:eastAsia="Times New Roman" w:hAnsi="Arial" w:cs="Arial"/>
          <w:color w:val="252525"/>
          <w:sz w:val="27"/>
          <w:szCs w:val="27"/>
          <w:lang w:eastAsia="zh-CN"/>
        </w:rPr>
        <w:t>);</w:t>
      </w:r>
    </w:p>
    <w:p w14:paraId="36DB5CBC" w14:textId="77777777" w:rsidR="00302528" w:rsidRPr="00302528" w:rsidRDefault="00302528" w:rsidP="00302528">
      <w:pPr>
        <w:numPr>
          <w:ilvl w:val="0"/>
          <w:numId w:val="3"/>
        </w:numPr>
        <w:shd w:val="clear" w:color="auto" w:fill="FFFFFF"/>
        <w:spacing w:line="300" w:lineRule="atLeast"/>
        <w:ind w:left="375"/>
        <w:rPr>
          <w:rFonts w:ascii="Arial" w:eastAsia="Times New Roman" w:hAnsi="Arial" w:cs="Arial"/>
          <w:color w:val="252525"/>
          <w:sz w:val="27"/>
          <w:szCs w:val="27"/>
          <w:lang w:eastAsia="zh-CN"/>
        </w:rPr>
      </w:pPr>
      <w:r w:rsidRPr="00302528">
        <w:rPr>
          <w:rFonts w:ascii="Arial" w:eastAsia="Times New Roman" w:hAnsi="Arial" w:cs="Arial"/>
          <w:color w:val="252525"/>
          <w:sz w:val="27"/>
          <w:szCs w:val="27"/>
          <w:lang w:eastAsia="zh-CN"/>
        </w:rPr>
        <w:t>Personal and Family Maintenance (</w:t>
      </w:r>
      <w:hyperlink r:id="rId20" w:tgtFrame="_blank" w:history="1">
        <w:r w:rsidRPr="00302528">
          <w:rPr>
            <w:rFonts w:ascii="Arial" w:eastAsia="Times New Roman" w:hAnsi="Arial" w:cs="Arial"/>
            <w:color w:val="008CDD"/>
            <w:sz w:val="27"/>
            <w:szCs w:val="27"/>
            <w:u w:val="single"/>
            <w:lang w:eastAsia="zh-CN"/>
          </w:rPr>
          <w:t>§ 15-14-736</w:t>
        </w:r>
      </w:hyperlink>
      <w:r w:rsidRPr="00302528">
        <w:rPr>
          <w:rFonts w:ascii="Arial" w:eastAsia="Times New Roman" w:hAnsi="Arial" w:cs="Arial"/>
          <w:color w:val="252525"/>
          <w:sz w:val="27"/>
          <w:szCs w:val="27"/>
          <w:lang w:eastAsia="zh-CN"/>
        </w:rPr>
        <w:t>);</w:t>
      </w:r>
    </w:p>
    <w:p w14:paraId="188171D7" w14:textId="77777777" w:rsidR="00302528" w:rsidRPr="00302528" w:rsidRDefault="00302528" w:rsidP="00302528">
      <w:pPr>
        <w:numPr>
          <w:ilvl w:val="0"/>
          <w:numId w:val="3"/>
        </w:numPr>
        <w:shd w:val="clear" w:color="auto" w:fill="FFFFFF"/>
        <w:spacing w:line="300" w:lineRule="atLeast"/>
        <w:ind w:left="375"/>
        <w:rPr>
          <w:rFonts w:ascii="Arial" w:eastAsia="Times New Roman" w:hAnsi="Arial" w:cs="Arial"/>
          <w:color w:val="252525"/>
          <w:sz w:val="27"/>
          <w:szCs w:val="27"/>
          <w:lang w:eastAsia="zh-CN"/>
        </w:rPr>
      </w:pPr>
      <w:r w:rsidRPr="00302528">
        <w:rPr>
          <w:rFonts w:ascii="Arial" w:eastAsia="Times New Roman" w:hAnsi="Arial" w:cs="Arial"/>
          <w:color w:val="252525"/>
          <w:sz w:val="27"/>
          <w:szCs w:val="27"/>
          <w:lang w:eastAsia="zh-CN"/>
        </w:rPr>
        <w:t>Benefits From Governmental Programs or Civil or Military Service (</w:t>
      </w:r>
      <w:hyperlink r:id="rId21" w:tgtFrame="_blank" w:history="1">
        <w:r w:rsidRPr="00302528">
          <w:rPr>
            <w:rFonts w:ascii="Arial" w:eastAsia="Times New Roman" w:hAnsi="Arial" w:cs="Arial"/>
            <w:color w:val="008CDD"/>
            <w:sz w:val="27"/>
            <w:szCs w:val="27"/>
            <w:u w:val="single"/>
            <w:lang w:eastAsia="zh-CN"/>
          </w:rPr>
          <w:t>§ 15-14-737</w:t>
        </w:r>
      </w:hyperlink>
      <w:r w:rsidRPr="00302528">
        <w:rPr>
          <w:rFonts w:ascii="Arial" w:eastAsia="Times New Roman" w:hAnsi="Arial" w:cs="Arial"/>
          <w:color w:val="252525"/>
          <w:sz w:val="27"/>
          <w:szCs w:val="27"/>
          <w:lang w:eastAsia="zh-CN"/>
        </w:rPr>
        <w:t>);</w:t>
      </w:r>
    </w:p>
    <w:p w14:paraId="38F8FAE8" w14:textId="77777777" w:rsidR="00302528" w:rsidRPr="00302528" w:rsidRDefault="00302528" w:rsidP="00302528">
      <w:pPr>
        <w:numPr>
          <w:ilvl w:val="0"/>
          <w:numId w:val="3"/>
        </w:numPr>
        <w:shd w:val="clear" w:color="auto" w:fill="FFFFFF"/>
        <w:spacing w:line="300" w:lineRule="atLeast"/>
        <w:ind w:left="375"/>
        <w:rPr>
          <w:rFonts w:ascii="Arial" w:eastAsia="Times New Roman" w:hAnsi="Arial" w:cs="Arial"/>
          <w:color w:val="252525"/>
          <w:sz w:val="27"/>
          <w:szCs w:val="27"/>
          <w:lang w:eastAsia="zh-CN"/>
        </w:rPr>
      </w:pPr>
      <w:r w:rsidRPr="00302528">
        <w:rPr>
          <w:rFonts w:ascii="Arial" w:eastAsia="Times New Roman" w:hAnsi="Arial" w:cs="Arial"/>
          <w:color w:val="252525"/>
          <w:sz w:val="27"/>
          <w:szCs w:val="27"/>
          <w:lang w:eastAsia="zh-CN"/>
        </w:rPr>
        <w:t>Retirement Plans (</w:t>
      </w:r>
      <w:hyperlink r:id="rId22" w:tgtFrame="_blank" w:history="1">
        <w:r w:rsidRPr="00302528">
          <w:rPr>
            <w:rFonts w:ascii="Arial" w:eastAsia="Times New Roman" w:hAnsi="Arial" w:cs="Arial"/>
            <w:color w:val="008CDD"/>
            <w:sz w:val="27"/>
            <w:szCs w:val="27"/>
            <w:u w:val="single"/>
            <w:lang w:eastAsia="zh-CN"/>
          </w:rPr>
          <w:t>§ 15-14-738</w:t>
        </w:r>
      </w:hyperlink>
      <w:r w:rsidRPr="00302528">
        <w:rPr>
          <w:rFonts w:ascii="Arial" w:eastAsia="Times New Roman" w:hAnsi="Arial" w:cs="Arial"/>
          <w:color w:val="252525"/>
          <w:sz w:val="27"/>
          <w:szCs w:val="27"/>
          <w:lang w:eastAsia="zh-CN"/>
        </w:rPr>
        <w:t>);</w:t>
      </w:r>
    </w:p>
    <w:p w14:paraId="42BE59CB" w14:textId="77777777" w:rsidR="00302528" w:rsidRPr="00302528" w:rsidRDefault="00302528" w:rsidP="00302528">
      <w:pPr>
        <w:numPr>
          <w:ilvl w:val="0"/>
          <w:numId w:val="3"/>
        </w:numPr>
        <w:shd w:val="clear" w:color="auto" w:fill="FFFFFF"/>
        <w:spacing w:line="300" w:lineRule="atLeast"/>
        <w:ind w:left="375"/>
        <w:rPr>
          <w:rFonts w:ascii="Arial" w:eastAsia="Times New Roman" w:hAnsi="Arial" w:cs="Arial"/>
          <w:color w:val="252525"/>
          <w:sz w:val="27"/>
          <w:szCs w:val="27"/>
          <w:lang w:eastAsia="zh-CN"/>
        </w:rPr>
      </w:pPr>
      <w:r w:rsidRPr="00302528">
        <w:rPr>
          <w:rFonts w:ascii="Arial" w:eastAsia="Times New Roman" w:hAnsi="Arial" w:cs="Arial"/>
          <w:color w:val="252525"/>
          <w:sz w:val="27"/>
          <w:szCs w:val="27"/>
          <w:lang w:eastAsia="zh-CN"/>
        </w:rPr>
        <w:t>Taxes (</w:t>
      </w:r>
      <w:hyperlink r:id="rId23" w:tgtFrame="_blank" w:history="1">
        <w:r w:rsidRPr="00302528">
          <w:rPr>
            <w:rFonts w:ascii="Arial" w:eastAsia="Times New Roman" w:hAnsi="Arial" w:cs="Arial"/>
            <w:color w:val="008CDD"/>
            <w:sz w:val="27"/>
            <w:szCs w:val="27"/>
            <w:u w:val="single"/>
            <w:lang w:eastAsia="zh-CN"/>
          </w:rPr>
          <w:t>§ 15-14-739</w:t>
        </w:r>
      </w:hyperlink>
      <w:r w:rsidRPr="00302528">
        <w:rPr>
          <w:rFonts w:ascii="Arial" w:eastAsia="Times New Roman" w:hAnsi="Arial" w:cs="Arial"/>
          <w:color w:val="252525"/>
          <w:sz w:val="27"/>
          <w:szCs w:val="27"/>
          <w:lang w:eastAsia="zh-CN"/>
        </w:rPr>
        <w:t>).</w:t>
      </w:r>
    </w:p>
    <w:p w14:paraId="1B878D7A" w14:textId="77777777" w:rsidR="00302528" w:rsidRPr="00302528" w:rsidRDefault="00302528" w:rsidP="00302528">
      <w:pPr>
        <w:shd w:val="clear" w:color="auto" w:fill="FFFFFF"/>
        <w:spacing w:before="200" w:after="200" w:line="360" w:lineRule="atLeast"/>
        <w:outlineLvl w:val="2"/>
        <w:rPr>
          <w:rFonts w:ascii="Arial" w:eastAsia="Times New Roman" w:hAnsi="Arial" w:cs="Arial"/>
          <w:color w:val="252525"/>
          <w:sz w:val="32"/>
          <w:szCs w:val="32"/>
          <w:lang w:eastAsia="zh-CN"/>
        </w:rPr>
      </w:pPr>
      <w:r w:rsidRPr="00302528">
        <w:rPr>
          <w:rFonts w:ascii="Arial" w:eastAsia="Times New Roman" w:hAnsi="Arial" w:cs="Arial"/>
          <w:b/>
          <w:bCs/>
          <w:color w:val="252525"/>
          <w:sz w:val="32"/>
          <w:szCs w:val="32"/>
          <w:lang w:eastAsia="zh-CN"/>
        </w:rPr>
        <w:t>Step 3 – Create a List of Assets</w:t>
      </w:r>
    </w:p>
    <w:p w14:paraId="3A4B34CC" w14:textId="77777777" w:rsidR="00302528" w:rsidRPr="00302528" w:rsidRDefault="00302528" w:rsidP="00302528">
      <w:pPr>
        <w:shd w:val="clear" w:color="auto" w:fill="FFFFFF"/>
        <w:spacing w:before="200" w:after="200"/>
        <w:rPr>
          <w:rFonts w:ascii="Arial" w:hAnsi="Arial" w:cs="Arial"/>
          <w:color w:val="252525"/>
          <w:sz w:val="27"/>
          <w:szCs w:val="27"/>
          <w:lang w:eastAsia="zh-CN"/>
        </w:rPr>
      </w:pPr>
      <w:r w:rsidRPr="00302528">
        <w:rPr>
          <w:rFonts w:ascii="Arial" w:hAnsi="Arial" w:cs="Arial"/>
          <w:color w:val="252525"/>
          <w:sz w:val="27"/>
          <w:szCs w:val="27"/>
          <w:lang w:eastAsia="zh-CN"/>
        </w:rPr>
        <w:t>Using the </w:t>
      </w:r>
      <w:hyperlink r:id="rId24" w:history="1">
        <w:r w:rsidRPr="00302528">
          <w:rPr>
            <w:rFonts w:ascii="Arial" w:hAnsi="Arial" w:cs="Arial"/>
            <w:color w:val="008CDD"/>
            <w:sz w:val="27"/>
            <w:szCs w:val="27"/>
            <w:u w:val="single"/>
            <w:lang w:eastAsia="zh-CN"/>
          </w:rPr>
          <w:t>Current Assets List</w:t>
        </w:r>
      </w:hyperlink>
      <w:r w:rsidRPr="00302528">
        <w:rPr>
          <w:rFonts w:ascii="Arial" w:hAnsi="Arial" w:cs="Arial"/>
          <w:color w:val="252525"/>
          <w:sz w:val="27"/>
          <w:szCs w:val="27"/>
          <w:lang w:eastAsia="zh-CN"/>
        </w:rPr>
        <w:t>, the principal can enter a description of all items presently part of their estate. Included in the list should be a summary of the principal’s real estate, personal property, financial accounts, business ownership, and other notable assets. Outlining an estate in this manner makes it so the beneficiaries can easily identify their assigned assets which in turn expedites the process of estate administration following the principal’s death.</w:t>
      </w:r>
    </w:p>
    <w:p w14:paraId="723547C7" w14:textId="77777777" w:rsidR="00302528" w:rsidRPr="00302528" w:rsidRDefault="00302528" w:rsidP="00302528">
      <w:pPr>
        <w:shd w:val="clear" w:color="auto" w:fill="FFFFFF"/>
        <w:spacing w:before="200" w:after="200" w:line="360" w:lineRule="atLeast"/>
        <w:outlineLvl w:val="2"/>
        <w:rPr>
          <w:rFonts w:ascii="Arial" w:eastAsia="Times New Roman" w:hAnsi="Arial" w:cs="Arial"/>
          <w:color w:val="252525"/>
          <w:sz w:val="32"/>
          <w:szCs w:val="32"/>
          <w:lang w:eastAsia="zh-CN"/>
        </w:rPr>
      </w:pPr>
      <w:r w:rsidRPr="00302528">
        <w:rPr>
          <w:rFonts w:ascii="Arial" w:eastAsia="Times New Roman" w:hAnsi="Arial" w:cs="Arial"/>
          <w:b/>
          <w:bCs/>
          <w:color w:val="252525"/>
          <w:sz w:val="32"/>
          <w:szCs w:val="32"/>
          <w:lang w:eastAsia="zh-CN"/>
        </w:rPr>
        <w:t>Step 4 – Choose the Beneficiaries and Designate Assets</w:t>
      </w:r>
    </w:p>
    <w:p w14:paraId="010F9D0D" w14:textId="77777777" w:rsidR="00302528" w:rsidRPr="00302528" w:rsidRDefault="00302528" w:rsidP="00302528">
      <w:pPr>
        <w:shd w:val="clear" w:color="auto" w:fill="FFFFFF"/>
        <w:spacing w:before="200" w:after="200"/>
        <w:rPr>
          <w:rFonts w:ascii="Arial" w:hAnsi="Arial" w:cs="Arial"/>
          <w:color w:val="252525"/>
          <w:sz w:val="27"/>
          <w:szCs w:val="27"/>
          <w:lang w:eastAsia="zh-CN"/>
        </w:rPr>
      </w:pPr>
      <w:r w:rsidRPr="00302528">
        <w:rPr>
          <w:rFonts w:ascii="Arial" w:hAnsi="Arial" w:cs="Arial"/>
          <w:color w:val="252525"/>
          <w:sz w:val="27"/>
          <w:szCs w:val="27"/>
          <w:lang w:eastAsia="zh-CN"/>
        </w:rPr>
        <w:t>Next, the principal should select the individuals who will inherit their assets after they pass away; these individuals are called the beneficiaries. After selecting the beneficiaries, the principal can specify the assets to which each is entitled. The naming of beneficiaries and preliminary organization of asset distribution does not preclude the principal from creating legal instruments which will effectively transfer the ownership to the named individuals.</w:t>
      </w:r>
    </w:p>
    <w:p w14:paraId="4F08A3A9" w14:textId="77777777" w:rsidR="00302528" w:rsidRPr="00302528" w:rsidRDefault="00302528" w:rsidP="00302528">
      <w:pPr>
        <w:shd w:val="clear" w:color="auto" w:fill="FFFFFF"/>
        <w:spacing w:before="200" w:after="200" w:line="360" w:lineRule="atLeast"/>
        <w:outlineLvl w:val="2"/>
        <w:rPr>
          <w:rFonts w:ascii="Arial" w:eastAsia="Times New Roman" w:hAnsi="Arial" w:cs="Arial"/>
          <w:color w:val="252525"/>
          <w:sz w:val="32"/>
          <w:szCs w:val="32"/>
          <w:lang w:eastAsia="zh-CN"/>
        </w:rPr>
      </w:pPr>
      <w:r w:rsidRPr="00302528">
        <w:rPr>
          <w:rFonts w:ascii="Arial" w:eastAsia="Times New Roman" w:hAnsi="Arial" w:cs="Arial"/>
          <w:b/>
          <w:bCs/>
          <w:color w:val="252525"/>
          <w:sz w:val="32"/>
          <w:szCs w:val="32"/>
          <w:lang w:eastAsia="zh-CN"/>
        </w:rPr>
        <w:t>Step 5 – Draft an Estate Distribution Document</w:t>
      </w:r>
    </w:p>
    <w:p w14:paraId="197B5D1F" w14:textId="77777777" w:rsidR="00302528" w:rsidRPr="00302528" w:rsidRDefault="00302528" w:rsidP="00302528">
      <w:pPr>
        <w:shd w:val="clear" w:color="auto" w:fill="FFFFFF"/>
        <w:spacing w:before="200" w:after="200"/>
        <w:rPr>
          <w:rFonts w:ascii="Arial" w:hAnsi="Arial" w:cs="Arial"/>
          <w:color w:val="252525"/>
          <w:sz w:val="27"/>
          <w:szCs w:val="27"/>
          <w:lang w:eastAsia="zh-CN"/>
        </w:rPr>
      </w:pPr>
      <w:r w:rsidRPr="00302528">
        <w:rPr>
          <w:rFonts w:ascii="Arial" w:hAnsi="Arial" w:cs="Arial"/>
          <w:color w:val="252525"/>
          <w:sz w:val="27"/>
          <w:szCs w:val="27"/>
          <w:lang w:eastAsia="zh-CN"/>
        </w:rPr>
        <w:t>One of the most essential steps in ensuring the security of an estate is to create a document that spells out the principal’s preferred method of asset distribution. The following options are available:</w:t>
      </w:r>
    </w:p>
    <w:p w14:paraId="2CB01B38" w14:textId="77777777" w:rsidR="00302528" w:rsidRPr="00302528" w:rsidRDefault="00302528" w:rsidP="00302528">
      <w:pPr>
        <w:shd w:val="clear" w:color="auto" w:fill="FFFFFF"/>
        <w:spacing w:before="200" w:after="200"/>
        <w:rPr>
          <w:rFonts w:ascii="Arial" w:hAnsi="Arial" w:cs="Arial"/>
          <w:color w:val="252525"/>
          <w:sz w:val="27"/>
          <w:szCs w:val="27"/>
          <w:lang w:eastAsia="zh-CN"/>
        </w:rPr>
      </w:pPr>
      <w:hyperlink r:id="rId25" w:history="1">
        <w:r w:rsidRPr="00302528">
          <w:rPr>
            <w:rFonts w:ascii="Arial" w:hAnsi="Arial" w:cs="Arial"/>
            <w:color w:val="008CDD"/>
            <w:sz w:val="27"/>
            <w:szCs w:val="27"/>
            <w:u w:val="single"/>
            <w:lang w:eastAsia="zh-CN"/>
          </w:rPr>
          <w:t>Last Will and Testament (‘Will’)</w:t>
        </w:r>
      </w:hyperlink>
      <w:r w:rsidRPr="00302528">
        <w:rPr>
          <w:rFonts w:ascii="Arial" w:hAnsi="Arial" w:cs="Arial"/>
          <w:color w:val="252525"/>
          <w:sz w:val="27"/>
          <w:szCs w:val="27"/>
          <w:lang w:eastAsia="zh-CN"/>
        </w:rPr>
        <w:t> – A document which allows the principal to name their beneficiaries and designate the assets to be inherited by each. The Last Will and Testament </w:t>
      </w:r>
      <w:r w:rsidRPr="00302528">
        <w:rPr>
          <w:rFonts w:ascii="Arial" w:hAnsi="Arial" w:cs="Arial"/>
          <w:b/>
          <w:bCs/>
          <w:color w:val="252525"/>
          <w:sz w:val="27"/>
          <w:szCs w:val="27"/>
          <w:lang w:eastAsia="zh-CN"/>
        </w:rPr>
        <w:t>will be assessed in the probate court </w:t>
      </w:r>
      <w:r w:rsidRPr="00302528">
        <w:rPr>
          <w:rFonts w:ascii="Arial" w:hAnsi="Arial" w:cs="Arial"/>
          <w:color w:val="252525"/>
          <w:sz w:val="27"/>
          <w:szCs w:val="27"/>
          <w:lang w:eastAsia="zh-CN"/>
        </w:rPr>
        <w:t>before the estate can be transferred to the heirs. During the probate process, court officials will determine whether the Will is valid and whether the value of the principal’s estate must be deducted to cover money owed to creditors.</w:t>
      </w:r>
    </w:p>
    <w:p w14:paraId="7B110C94" w14:textId="77777777" w:rsidR="00302528" w:rsidRPr="00302528" w:rsidRDefault="00302528" w:rsidP="00302528">
      <w:pPr>
        <w:numPr>
          <w:ilvl w:val="0"/>
          <w:numId w:val="4"/>
        </w:numPr>
        <w:shd w:val="clear" w:color="auto" w:fill="FFFFFF"/>
        <w:spacing w:line="300" w:lineRule="atLeast"/>
        <w:ind w:left="375" w:hanging="357"/>
        <w:rPr>
          <w:rFonts w:ascii="Arial" w:eastAsia="Times New Roman" w:hAnsi="Arial" w:cs="Arial"/>
          <w:color w:val="252525"/>
          <w:sz w:val="27"/>
          <w:szCs w:val="27"/>
          <w:lang w:eastAsia="zh-CN"/>
        </w:rPr>
      </w:pPr>
      <w:r w:rsidRPr="00302528">
        <w:rPr>
          <w:rFonts w:ascii="Arial" w:eastAsia="Times New Roman" w:hAnsi="Arial" w:cs="Arial"/>
          <w:b/>
          <w:bCs/>
          <w:color w:val="252525"/>
          <w:sz w:val="27"/>
          <w:szCs w:val="27"/>
          <w:lang w:eastAsia="zh-CN"/>
        </w:rPr>
        <w:t>Signing Requirements </w:t>
      </w:r>
      <w:r w:rsidRPr="00302528">
        <w:rPr>
          <w:rFonts w:ascii="Arial" w:eastAsia="Times New Roman" w:hAnsi="Arial" w:cs="Arial"/>
          <w:color w:val="252525"/>
          <w:sz w:val="27"/>
          <w:szCs w:val="27"/>
          <w:lang w:eastAsia="zh-CN"/>
        </w:rPr>
        <w:t>(</w:t>
      </w:r>
      <w:hyperlink r:id="rId26" w:tgtFrame="_blank" w:history="1">
        <w:r w:rsidRPr="00302528">
          <w:rPr>
            <w:rFonts w:ascii="Arial" w:eastAsia="Times New Roman" w:hAnsi="Arial" w:cs="Arial"/>
            <w:color w:val="008CDD"/>
            <w:sz w:val="27"/>
            <w:szCs w:val="27"/>
            <w:u w:val="single"/>
            <w:lang w:eastAsia="zh-CN"/>
          </w:rPr>
          <w:t>§ 15-11-502</w:t>
        </w:r>
      </w:hyperlink>
      <w:r w:rsidRPr="00302528">
        <w:rPr>
          <w:rFonts w:ascii="Arial" w:eastAsia="Times New Roman" w:hAnsi="Arial" w:cs="Arial"/>
          <w:color w:val="252525"/>
          <w:sz w:val="27"/>
          <w:szCs w:val="27"/>
          <w:lang w:eastAsia="zh-CN"/>
        </w:rPr>
        <w:t>) – The principal must sign or direct another individual to sign on their behalf in their presence. Additionally, the document must either be:</w:t>
      </w:r>
    </w:p>
    <w:p w14:paraId="581C96C8" w14:textId="77777777" w:rsidR="00302528" w:rsidRPr="00302528" w:rsidRDefault="00302528" w:rsidP="00302528">
      <w:pPr>
        <w:numPr>
          <w:ilvl w:val="1"/>
          <w:numId w:val="4"/>
        </w:numPr>
        <w:shd w:val="clear" w:color="auto" w:fill="FFFFFF"/>
        <w:spacing w:line="300" w:lineRule="atLeast"/>
        <w:ind w:left="750" w:hanging="357"/>
        <w:rPr>
          <w:rFonts w:ascii="Arial" w:eastAsia="Times New Roman" w:hAnsi="Arial" w:cs="Arial"/>
          <w:color w:val="252525"/>
          <w:sz w:val="27"/>
          <w:szCs w:val="27"/>
          <w:lang w:eastAsia="zh-CN"/>
        </w:rPr>
      </w:pPr>
      <w:r w:rsidRPr="00302528">
        <w:rPr>
          <w:rFonts w:ascii="Arial" w:eastAsia="Times New Roman" w:hAnsi="Arial" w:cs="Arial"/>
          <w:color w:val="252525"/>
          <w:sz w:val="27"/>
          <w:szCs w:val="27"/>
          <w:lang w:eastAsia="zh-CN"/>
        </w:rPr>
        <w:t>Signed by two (2) or more individual who witnessed either the principal’s signature or the principal’s acknowledgment of the signature or acknowledgment of the Will; or</w:t>
      </w:r>
    </w:p>
    <w:p w14:paraId="5BD14ACD" w14:textId="77777777" w:rsidR="00302528" w:rsidRPr="00302528" w:rsidRDefault="00302528" w:rsidP="00302528">
      <w:pPr>
        <w:numPr>
          <w:ilvl w:val="1"/>
          <w:numId w:val="4"/>
        </w:numPr>
        <w:shd w:val="clear" w:color="auto" w:fill="FFFFFF"/>
        <w:spacing w:line="300" w:lineRule="atLeast"/>
        <w:ind w:left="750" w:hanging="357"/>
        <w:rPr>
          <w:rFonts w:ascii="Arial" w:eastAsia="Times New Roman" w:hAnsi="Arial" w:cs="Arial"/>
          <w:color w:val="252525"/>
          <w:sz w:val="27"/>
          <w:szCs w:val="27"/>
          <w:lang w:eastAsia="zh-CN"/>
        </w:rPr>
      </w:pPr>
      <w:r w:rsidRPr="00302528">
        <w:rPr>
          <w:rFonts w:ascii="Arial" w:eastAsia="Times New Roman" w:hAnsi="Arial" w:cs="Arial"/>
          <w:color w:val="252525"/>
          <w:sz w:val="27"/>
          <w:szCs w:val="27"/>
          <w:lang w:eastAsia="zh-CN"/>
        </w:rPr>
        <w:t>Acknowledged by the principal in the presence of a notarial officer.</w:t>
      </w:r>
    </w:p>
    <w:p w14:paraId="072F73A4" w14:textId="77777777" w:rsidR="00302528" w:rsidRPr="00302528" w:rsidRDefault="00302528" w:rsidP="00302528">
      <w:pPr>
        <w:shd w:val="clear" w:color="auto" w:fill="FFFFFF"/>
        <w:spacing w:before="200" w:after="200"/>
        <w:rPr>
          <w:rFonts w:ascii="Arial" w:hAnsi="Arial" w:cs="Arial"/>
          <w:color w:val="252525"/>
          <w:sz w:val="27"/>
          <w:szCs w:val="27"/>
          <w:lang w:eastAsia="zh-CN"/>
        </w:rPr>
      </w:pPr>
      <w:hyperlink r:id="rId27" w:history="1">
        <w:r w:rsidRPr="00302528">
          <w:rPr>
            <w:rFonts w:ascii="Arial" w:hAnsi="Arial" w:cs="Arial"/>
            <w:color w:val="008CDD"/>
            <w:sz w:val="27"/>
            <w:szCs w:val="27"/>
            <w:u w:val="single"/>
            <w:lang w:eastAsia="zh-CN"/>
          </w:rPr>
          <w:t>Living Trust (Revocable)</w:t>
        </w:r>
      </w:hyperlink>
      <w:r w:rsidRPr="00302528">
        <w:rPr>
          <w:rFonts w:ascii="Arial" w:hAnsi="Arial" w:cs="Arial"/>
          <w:color w:val="252525"/>
          <w:sz w:val="27"/>
          <w:szCs w:val="27"/>
          <w:lang w:eastAsia="zh-CN"/>
        </w:rPr>
        <w:t> – This form creates a legal entity that holds possession of the principal’s assets. Whichever assets are placed in the trust may still be managed and benefited from during the principal’s lifetime. As with a Last Will and Testament, a Living Trust allows the principal to name their beneficiaries and specify the assets that each will inherit. Where the two documents differ, however, is that a Living Trust </w:t>
      </w:r>
      <w:r w:rsidRPr="00302528">
        <w:rPr>
          <w:rFonts w:ascii="Arial" w:hAnsi="Arial" w:cs="Arial"/>
          <w:b/>
          <w:bCs/>
          <w:color w:val="252525"/>
          <w:sz w:val="27"/>
          <w:szCs w:val="27"/>
          <w:lang w:eastAsia="zh-CN"/>
        </w:rPr>
        <w:t>will not be assessed in the probate court</w:t>
      </w:r>
      <w:r w:rsidRPr="00302528">
        <w:rPr>
          <w:rFonts w:ascii="Arial" w:hAnsi="Arial" w:cs="Arial"/>
          <w:color w:val="252525"/>
          <w:sz w:val="27"/>
          <w:szCs w:val="27"/>
          <w:lang w:eastAsia="zh-CN"/>
        </w:rPr>
        <w:t>. Therefore, the assets held by a Living Trust can be administered immediately following the principal’s death.</w:t>
      </w:r>
    </w:p>
    <w:p w14:paraId="427413E6" w14:textId="77777777" w:rsidR="00302528" w:rsidRPr="00302528" w:rsidRDefault="00302528" w:rsidP="00302528">
      <w:pPr>
        <w:numPr>
          <w:ilvl w:val="0"/>
          <w:numId w:val="5"/>
        </w:numPr>
        <w:shd w:val="clear" w:color="auto" w:fill="FFFFFF"/>
        <w:spacing w:before="200" w:after="200" w:line="300" w:lineRule="atLeast"/>
        <w:ind w:left="375"/>
        <w:rPr>
          <w:rFonts w:ascii="Arial" w:eastAsia="Times New Roman" w:hAnsi="Arial" w:cs="Arial"/>
          <w:color w:val="252525"/>
          <w:sz w:val="27"/>
          <w:szCs w:val="27"/>
          <w:lang w:eastAsia="zh-CN"/>
        </w:rPr>
      </w:pPr>
      <w:r w:rsidRPr="00302528">
        <w:rPr>
          <w:rFonts w:ascii="Arial" w:eastAsia="Times New Roman" w:hAnsi="Arial" w:cs="Arial"/>
          <w:b/>
          <w:bCs/>
          <w:color w:val="252525"/>
          <w:sz w:val="27"/>
          <w:szCs w:val="27"/>
          <w:lang w:eastAsia="zh-CN"/>
        </w:rPr>
        <w:t>Signing Requirements </w:t>
      </w:r>
      <w:r w:rsidRPr="00302528">
        <w:rPr>
          <w:rFonts w:ascii="Arial" w:eastAsia="Times New Roman" w:hAnsi="Arial" w:cs="Arial"/>
          <w:color w:val="252525"/>
          <w:sz w:val="27"/>
          <w:szCs w:val="27"/>
          <w:lang w:eastAsia="zh-CN"/>
        </w:rPr>
        <w:t>(</w:t>
      </w:r>
      <w:hyperlink r:id="rId28" w:tgtFrame="_blank" w:history="1">
        <w:r w:rsidRPr="00302528">
          <w:rPr>
            <w:rFonts w:ascii="Arial" w:eastAsia="Times New Roman" w:hAnsi="Arial" w:cs="Arial"/>
            <w:color w:val="008CDD"/>
            <w:sz w:val="27"/>
            <w:szCs w:val="27"/>
            <w:u w:val="single"/>
            <w:lang w:eastAsia="zh-CN"/>
          </w:rPr>
          <w:t>§ 15-16-101</w:t>
        </w:r>
      </w:hyperlink>
      <w:r w:rsidRPr="00302528">
        <w:rPr>
          <w:rFonts w:ascii="Arial" w:eastAsia="Times New Roman" w:hAnsi="Arial" w:cs="Arial"/>
          <w:color w:val="252525"/>
          <w:sz w:val="27"/>
          <w:szCs w:val="27"/>
          <w:lang w:eastAsia="zh-CN"/>
        </w:rPr>
        <w:t>) – Should be signed by the principal in the presence of two (2) witnesses and a notary public. Once signed, the trustee must register the trust at the </w:t>
      </w:r>
      <w:hyperlink r:id="rId29" w:tgtFrame="_blank" w:history="1">
        <w:r w:rsidRPr="00302528">
          <w:rPr>
            <w:rFonts w:ascii="Arial" w:eastAsia="Times New Roman" w:hAnsi="Arial" w:cs="Arial"/>
            <w:color w:val="008CDD"/>
            <w:sz w:val="27"/>
            <w:szCs w:val="27"/>
            <w:u w:val="single"/>
            <w:lang w:eastAsia="zh-CN"/>
          </w:rPr>
          <w:t>court</w:t>
        </w:r>
      </w:hyperlink>
      <w:r w:rsidRPr="00302528">
        <w:rPr>
          <w:rFonts w:ascii="Arial" w:eastAsia="Times New Roman" w:hAnsi="Arial" w:cs="Arial"/>
          <w:color w:val="252525"/>
          <w:sz w:val="27"/>
          <w:szCs w:val="27"/>
          <w:lang w:eastAsia="zh-CN"/>
        </w:rPr>
        <w:t> of the principal place of administration.</w:t>
      </w:r>
    </w:p>
    <w:p w14:paraId="7A2C36AB" w14:textId="77777777" w:rsidR="00302528" w:rsidRPr="00302528" w:rsidRDefault="00302528" w:rsidP="00302528">
      <w:pPr>
        <w:shd w:val="clear" w:color="auto" w:fill="FFFFFF"/>
        <w:spacing w:before="200" w:after="200" w:line="360" w:lineRule="atLeast"/>
        <w:outlineLvl w:val="2"/>
        <w:rPr>
          <w:rFonts w:ascii="Arial" w:eastAsia="Times New Roman" w:hAnsi="Arial" w:cs="Arial"/>
          <w:color w:val="252525"/>
          <w:sz w:val="32"/>
          <w:szCs w:val="32"/>
          <w:lang w:eastAsia="zh-CN"/>
        </w:rPr>
      </w:pPr>
      <w:r w:rsidRPr="00302528">
        <w:rPr>
          <w:rFonts w:ascii="Arial" w:eastAsia="Times New Roman" w:hAnsi="Arial" w:cs="Arial"/>
          <w:b/>
          <w:bCs/>
          <w:color w:val="252525"/>
          <w:sz w:val="32"/>
          <w:szCs w:val="32"/>
          <w:lang w:eastAsia="zh-CN"/>
        </w:rPr>
        <w:t>Step 6 – Keep the Documents Safe</w:t>
      </w:r>
    </w:p>
    <w:p w14:paraId="0D3A2F57" w14:textId="77777777" w:rsidR="00302528" w:rsidRPr="00302528" w:rsidRDefault="00302528" w:rsidP="00302528">
      <w:pPr>
        <w:shd w:val="clear" w:color="auto" w:fill="FFFFFF"/>
        <w:spacing w:before="200" w:after="200"/>
        <w:rPr>
          <w:rFonts w:ascii="Arial" w:hAnsi="Arial" w:cs="Arial"/>
          <w:color w:val="252525"/>
          <w:sz w:val="27"/>
          <w:szCs w:val="27"/>
          <w:lang w:eastAsia="zh-CN"/>
        </w:rPr>
      </w:pPr>
      <w:r w:rsidRPr="00302528">
        <w:rPr>
          <w:rFonts w:ascii="Arial" w:hAnsi="Arial" w:cs="Arial"/>
          <w:color w:val="252525"/>
          <w:sz w:val="27"/>
          <w:szCs w:val="27"/>
          <w:lang w:eastAsia="zh-CN"/>
        </w:rPr>
        <w:t>Upon the completion of the above-mentioned estate documents, the principal should protect the paperwork to ensure that the records remain safe and easily accessible in the event of their incapacitation or death. The principal should be careful when informing others as to the location of the forms. This way, there will be no unwanted alterations to the documents made by unauthorized parties.</w:t>
      </w:r>
    </w:p>
    <w:p w14:paraId="0C36E1C5" w14:textId="77777777" w:rsidR="00302528" w:rsidRPr="00302528" w:rsidRDefault="00302528" w:rsidP="00302528">
      <w:pPr>
        <w:shd w:val="clear" w:color="auto" w:fill="FFFFFF"/>
        <w:spacing w:before="200" w:after="200" w:line="360" w:lineRule="atLeast"/>
        <w:outlineLvl w:val="0"/>
        <w:rPr>
          <w:rFonts w:ascii="Arial" w:eastAsia="Times New Roman" w:hAnsi="Arial" w:cs="Arial"/>
          <w:b/>
          <w:bCs/>
          <w:color w:val="252525"/>
          <w:kern w:val="36"/>
          <w:sz w:val="36"/>
          <w:szCs w:val="36"/>
          <w:lang w:eastAsia="zh-CN"/>
        </w:rPr>
      </w:pPr>
      <w:r w:rsidRPr="00302528">
        <w:rPr>
          <w:rFonts w:ascii="Arial" w:eastAsia="Times New Roman" w:hAnsi="Arial" w:cs="Arial"/>
          <w:b/>
          <w:bCs/>
          <w:color w:val="252525"/>
          <w:kern w:val="36"/>
          <w:sz w:val="36"/>
          <w:szCs w:val="36"/>
          <w:lang w:eastAsia="zh-CN"/>
        </w:rPr>
        <w:t>Colorado Estate Planning Laws</w:t>
      </w:r>
    </w:p>
    <w:p w14:paraId="307FE8C8" w14:textId="77777777" w:rsidR="00302528" w:rsidRPr="00302528" w:rsidRDefault="00302528" w:rsidP="00302528">
      <w:pPr>
        <w:numPr>
          <w:ilvl w:val="0"/>
          <w:numId w:val="6"/>
        </w:numPr>
        <w:shd w:val="clear" w:color="auto" w:fill="FFFFFF"/>
        <w:spacing w:line="300" w:lineRule="atLeast"/>
        <w:ind w:left="374" w:hanging="357"/>
        <w:rPr>
          <w:rFonts w:ascii="Arial" w:eastAsia="Times New Roman" w:hAnsi="Arial" w:cs="Arial"/>
          <w:color w:val="252525"/>
          <w:sz w:val="27"/>
          <w:szCs w:val="27"/>
          <w:lang w:eastAsia="zh-CN"/>
        </w:rPr>
      </w:pPr>
      <w:r w:rsidRPr="00302528">
        <w:rPr>
          <w:rFonts w:ascii="Arial" w:eastAsia="Times New Roman" w:hAnsi="Arial" w:cs="Arial"/>
          <w:b/>
          <w:bCs/>
          <w:color w:val="252525"/>
          <w:sz w:val="27"/>
          <w:szCs w:val="27"/>
          <w:lang w:eastAsia="zh-CN"/>
        </w:rPr>
        <w:t>Medical Durable Power of Attorney </w:t>
      </w:r>
      <w:r w:rsidRPr="00302528">
        <w:rPr>
          <w:rFonts w:ascii="Arial" w:eastAsia="Times New Roman" w:hAnsi="Arial" w:cs="Arial"/>
          <w:color w:val="252525"/>
          <w:sz w:val="27"/>
          <w:szCs w:val="27"/>
          <w:lang w:eastAsia="zh-CN"/>
        </w:rPr>
        <w:t>– </w:t>
      </w:r>
      <w:hyperlink r:id="rId30" w:tgtFrame="_blank" w:history="1">
        <w:r w:rsidRPr="00302528">
          <w:rPr>
            <w:rFonts w:ascii="Arial" w:eastAsia="Times New Roman" w:hAnsi="Arial" w:cs="Arial"/>
            <w:color w:val="008CDD"/>
            <w:sz w:val="27"/>
            <w:szCs w:val="27"/>
            <w:u w:val="single"/>
            <w:lang w:eastAsia="zh-CN"/>
          </w:rPr>
          <w:t>§ 15-14-506</w:t>
        </w:r>
      </w:hyperlink>
    </w:p>
    <w:p w14:paraId="36120C8F" w14:textId="77777777" w:rsidR="00302528" w:rsidRPr="00302528" w:rsidRDefault="00302528" w:rsidP="00302528">
      <w:pPr>
        <w:numPr>
          <w:ilvl w:val="0"/>
          <w:numId w:val="6"/>
        </w:numPr>
        <w:shd w:val="clear" w:color="auto" w:fill="FFFFFF"/>
        <w:spacing w:line="300" w:lineRule="atLeast"/>
        <w:ind w:left="374" w:hanging="357"/>
        <w:rPr>
          <w:rFonts w:ascii="Arial" w:eastAsia="Times New Roman" w:hAnsi="Arial" w:cs="Arial"/>
          <w:color w:val="252525"/>
          <w:sz w:val="27"/>
          <w:szCs w:val="27"/>
          <w:lang w:eastAsia="zh-CN"/>
        </w:rPr>
      </w:pPr>
      <w:r w:rsidRPr="00302528">
        <w:rPr>
          <w:rFonts w:ascii="Arial" w:eastAsia="Times New Roman" w:hAnsi="Arial" w:cs="Arial"/>
          <w:b/>
          <w:bCs/>
          <w:color w:val="252525"/>
          <w:sz w:val="27"/>
          <w:szCs w:val="27"/>
          <w:lang w:eastAsia="zh-CN"/>
        </w:rPr>
        <w:t>Durable (Financial) Power of Attorney </w:t>
      </w:r>
      <w:r w:rsidRPr="00302528">
        <w:rPr>
          <w:rFonts w:ascii="Arial" w:eastAsia="Times New Roman" w:hAnsi="Arial" w:cs="Arial"/>
          <w:color w:val="252525"/>
          <w:sz w:val="27"/>
          <w:szCs w:val="27"/>
          <w:lang w:eastAsia="zh-CN"/>
        </w:rPr>
        <w:t>– </w:t>
      </w:r>
      <w:hyperlink r:id="rId31" w:tgtFrame="_blank" w:history="1">
        <w:r w:rsidRPr="00302528">
          <w:rPr>
            <w:rFonts w:ascii="Arial" w:eastAsia="Times New Roman" w:hAnsi="Arial" w:cs="Arial"/>
            <w:color w:val="008CDD"/>
            <w:sz w:val="27"/>
            <w:szCs w:val="27"/>
            <w:u w:val="single"/>
            <w:lang w:eastAsia="zh-CN"/>
          </w:rPr>
          <w:t>Title 14, Article 14, Part 7</w:t>
        </w:r>
      </w:hyperlink>
    </w:p>
    <w:p w14:paraId="6D78A3DC" w14:textId="77777777" w:rsidR="00302528" w:rsidRPr="00302528" w:rsidRDefault="00302528" w:rsidP="00302528">
      <w:pPr>
        <w:numPr>
          <w:ilvl w:val="0"/>
          <w:numId w:val="6"/>
        </w:numPr>
        <w:shd w:val="clear" w:color="auto" w:fill="FFFFFF"/>
        <w:spacing w:line="300" w:lineRule="atLeast"/>
        <w:ind w:left="374" w:hanging="357"/>
        <w:rPr>
          <w:rFonts w:ascii="Arial" w:eastAsia="Times New Roman" w:hAnsi="Arial" w:cs="Arial"/>
          <w:color w:val="252525"/>
          <w:sz w:val="27"/>
          <w:szCs w:val="27"/>
          <w:lang w:eastAsia="zh-CN"/>
        </w:rPr>
      </w:pPr>
      <w:r w:rsidRPr="00302528">
        <w:rPr>
          <w:rFonts w:ascii="Arial" w:eastAsia="Times New Roman" w:hAnsi="Arial" w:cs="Arial"/>
          <w:b/>
          <w:bCs/>
          <w:color w:val="252525"/>
          <w:sz w:val="27"/>
          <w:szCs w:val="27"/>
          <w:lang w:eastAsia="zh-CN"/>
        </w:rPr>
        <w:t>Last Will and Testament (‘Will’) </w:t>
      </w:r>
      <w:r w:rsidRPr="00302528">
        <w:rPr>
          <w:rFonts w:ascii="Arial" w:eastAsia="Times New Roman" w:hAnsi="Arial" w:cs="Arial"/>
          <w:color w:val="252525"/>
          <w:sz w:val="27"/>
          <w:szCs w:val="27"/>
          <w:lang w:eastAsia="zh-CN"/>
        </w:rPr>
        <w:t>– </w:t>
      </w:r>
      <w:hyperlink r:id="rId32" w:tgtFrame="_blank" w:history="1">
        <w:r w:rsidRPr="00302528">
          <w:rPr>
            <w:rFonts w:ascii="Arial" w:eastAsia="Times New Roman" w:hAnsi="Arial" w:cs="Arial"/>
            <w:color w:val="008CDD"/>
            <w:sz w:val="27"/>
            <w:szCs w:val="27"/>
            <w:u w:val="single"/>
            <w:lang w:eastAsia="zh-CN"/>
          </w:rPr>
          <w:t>Title 15, Article 11</w:t>
        </w:r>
      </w:hyperlink>
    </w:p>
    <w:p w14:paraId="48332DED" w14:textId="77777777" w:rsidR="00302528" w:rsidRPr="00302528" w:rsidRDefault="00302528" w:rsidP="00302528">
      <w:pPr>
        <w:numPr>
          <w:ilvl w:val="0"/>
          <w:numId w:val="6"/>
        </w:numPr>
        <w:shd w:val="clear" w:color="auto" w:fill="FFFFFF"/>
        <w:spacing w:line="300" w:lineRule="atLeast"/>
        <w:ind w:left="375"/>
        <w:rPr>
          <w:rFonts w:ascii="Arial" w:eastAsia="Times New Roman" w:hAnsi="Arial" w:cs="Arial"/>
          <w:color w:val="252525"/>
          <w:sz w:val="27"/>
          <w:szCs w:val="27"/>
          <w:lang w:eastAsia="zh-CN"/>
        </w:rPr>
      </w:pPr>
      <w:r w:rsidRPr="00302528">
        <w:rPr>
          <w:rFonts w:ascii="Arial" w:eastAsia="Times New Roman" w:hAnsi="Arial" w:cs="Arial"/>
          <w:b/>
          <w:bCs/>
          <w:color w:val="252525"/>
          <w:sz w:val="27"/>
          <w:szCs w:val="27"/>
          <w:lang w:eastAsia="zh-CN"/>
        </w:rPr>
        <w:t>Revocable Living Trust</w:t>
      </w:r>
      <w:r w:rsidRPr="00302528">
        <w:rPr>
          <w:rFonts w:ascii="Arial" w:eastAsia="Times New Roman" w:hAnsi="Arial" w:cs="Arial"/>
          <w:color w:val="252525"/>
          <w:sz w:val="27"/>
          <w:szCs w:val="27"/>
          <w:lang w:eastAsia="zh-CN"/>
        </w:rPr>
        <w:t> – </w:t>
      </w:r>
      <w:hyperlink r:id="rId33" w:tgtFrame="_blank" w:history="1">
        <w:r w:rsidRPr="00302528">
          <w:rPr>
            <w:rFonts w:ascii="Arial" w:eastAsia="Times New Roman" w:hAnsi="Arial" w:cs="Arial"/>
            <w:color w:val="008CDD"/>
            <w:sz w:val="27"/>
            <w:szCs w:val="27"/>
            <w:u w:val="single"/>
            <w:lang w:eastAsia="zh-CN"/>
          </w:rPr>
          <w:t>Title 15, Article 16</w:t>
        </w:r>
      </w:hyperlink>
    </w:p>
    <w:sectPr w:rsidR="00302528" w:rsidRPr="00302528" w:rsidSect="00302528">
      <w:footerReference w:type="default" r:id="rId34"/>
      <w:pgSz w:w="12240" w:h="15840"/>
      <w:pgMar w:top="1389"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5C3478" w14:textId="77777777" w:rsidR="00893DC3" w:rsidRDefault="00893DC3" w:rsidP="00302528">
      <w:r>
        <w:separator/>
      </w:r>
    </w:p>
  </w:endnote>
  <w:endnote w:type="continuationSeparator" w:id="0">
    <w:p w14:paraId="5BD8211F" w14:textId="77777777" w:rsidR="00893DC3" w:rsidRDefault="00893DC3" w:rsidP="0030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F370A" w14:textId="77777777" w:rsidR="00187345" w:rsidRPr="00BE4C06" w:rsidRDefault="00187345" w:rsidP="00187345">
    <w:pPr>
      <w:pStyle w:val="Footer"/>
      <w:framePr w:w="1941" w:wrap="none" w:vAnchor="text" w:hAnchor="page" w:x="9221" w:y="128"/>
      <w:jc w:val="right"/>
      <w:rPr>
        <w:rStyle w:val="PageNumber"/>
        <w:rFonts w:ascii="Arial" w:hAnsi="Arial" w:cs="Arial"/>
        <w:u w:val="single"/>
      </w:rPr>
    </w:pPr>
    <w:r w:rsidRPr="00D63933">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D63933">
          <w:rPr>
            <w:rStyle w:val="PageNumber"/>
            <w:rFonts w:ascii="Arial" w:hAnsi="Arial" w:cs="Arial"/>
          </w:rPr>
          <w:fldChar w:fldCharType="begin"/>
        </w:r>
        <w:r w:rsidRPr="00D63933">
          <w:rPr>
            <w:rStyle w:val="PageNumber"/>
            <w:rFonts w:ascii="Arial" w:hAnsi="Arial" w:cs="Arial"/>
          </w:rPr>
          <w:instrText xml:space="preserve"> PAGE </w:instrText>
        </w:r>
        <w:r w:rsidRPr="00D63933">
          <w:rPr>
            <w:rStyle w:val="PageNumber"/>
            <w:rFonts w:ascii="Arial" w:hAnsi="Arial" w:cs="Arial"/>
          </w:rPr>
          <w:fldChar w:fldCharType="separate"/>
        </w:r>
        <w:r w:rsidR="00893DC3">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of </w:t>
        </w:r>
        <w:r w:rsidRPr="00D63933">
          <w:rPr>
            <w:rStyle w:val="PageNumber"/>
            <w:rFonts w:ascii="Arial" w:hAnsi="Arial" w:cs="Arial"/>
          </w:rPr>
          <w:fldChar w:fldCharType="begin"/>
        </w:r>
        <w:r w:rsidRPr="00D63933">
          <w:rPr>
            <w:rStyle w:val="PageNumber"/>
            <w:rFonts w:ascii="Arial" w:hAnsi="Arial" w:cs="Arial"/>
          </w:rPr>
          <w:instrText xml:space="preserve"> NUMPAGES  \* MERGEFORMAT </w:instrText>
        </w:r>
        <w:r w:rsidRPr="00D63933">
          <w:rPr>
            <w:rStyle w:val="PageNumber"/>
            <w:rFonts w:ascii="Arial" w:hAnsi="Arial" w:cs="Arial"/>
          </w:rPr>
          <w:fldChar w:fldCharType="separate"/>
        </w:r>
        <w:r w:rsidR="00893DC3">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w:t>
        </w:r>
      </w:sdtContent>
    </w:sdt>
  </w:p>
  <w:p w14:paraId="36192C7B" w14:textId="7C16CB45" w:rsidR="00187345" w:rsidRPr="00187345" w:rsidRDefault="00187345" w:rsidP="00187345">
    <w:pPr>
      <w:pStyle w:val="Footer"/>
      <w:tabs>
        <w:tab w:val="clear" w:pos="4680"/>
        <w:tab w:val="clear" w:pos="9360"/>
        <w:tab w:val="left" w:pos="6180"/>
      </w:tabs>
      <w:ind w:right="360"/>
      <w:rPr>
        <w:rFonts w:ascii="Arial" w:hAnsi="Arial" w:cs="Arial"/>
      </w:rPr>
    </w:pPr>
    <w:r w:rsidRPr="00BE4C06">
      <w:rPr>
        <w:rStyle w:val="Hyperlink"/>
        <w:rFonts w:cs="Arial"/>
        <w:noProof/>
        <w:lang w:eastAsia="zh-CN"/>
      </w:rPr>
      <w:drawing>
        <wp:inline distT="0" distB="0" distL="0" distR="0" wp14:anchorId="4EAA8600" wp14:editId="7EE396A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E4C06">
      <w:rPr>
        <w:rFonts w:ascii="Arial" w:hAnsi="Arial" w:cs="Arial"/>
      </w:rPr>
      <w:t xml:space="preserve"> </w:t>
    </w:r>
    <w:r w:rsidRPr="00BE4C06">
      <w:rPr>
        <w:rFonts w:ascii="Arial" w:hAnsi="Arial" w:cs="Arial"/>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732B9" w14:textId="77777777" w:rsidR="00893DC3" w:rsidRDefault="00893DC3" w:rsidP="00302528">
      <w:r>
        <w:separator/>
      </w:r>
    </w:p>
  </w:footnote>
  <w:footnote w:type="continuationSeparator" w:id="0">
    <w:p w14:paraId="228F2AFC" w14:textId="77777777" w:rsidR="00893DC3" w:rsidRDefault="00893DC3" w:rsidP="003025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31A20"/>
    <w:multiLevelType w:val="multilevel"/>
    <w:tmpl w:val="0104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122DE7"/>
    <w:multiLevelType w:val="multilevel"/>
    <w:tmpl w:val="4E38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7A6AC7"/>
    <w:multiLevelType w:val="multilevel"/>
    <w:tmpl w:val="3798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936551"/>
    <w:multiLevelType w:val="multilevel"/>
    <w:tmpl w:val="39A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BE556A"/>
    <w:multiLevelType w:val="multilevel"/>
    <w:tmpl w:val="27C6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8A7789"/>
    <w:multiLevelType w:val="multilevel"/>
    <w:tmpl w:val="3C562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528"/>
    <w:rsid w:val="00187345"/>
    <w:rsid w:val="001E3567"/>
    <w:rsid w:val="00302528"/>
    <w:rsid w:val="0064161C"/>
    <w:rsid w:val="00893DC3"/>
    <w:rsid w:val="00BD7843"/>
    <w:rsid w:val="00EE1D22"/>
    <w:rsid w:val="00F052B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E6812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02528"/>
    <w:pPr>
      <w:spacing w:before="100" w:beforeAutospacing="1" w:after="100" w:afterAutospacing="1"/>
      <w:outlineLvl w:val="0"/>
    </w:pPr>
    <w:rPr>
      <w:rFonts w:ascii="Times New Roman" w:hAnsi="Times New Roman" w:cs="Times New Roman"/>
      <w:b/>
      <w:bCs/>
      <w:kern w:val="36"/>
      <w:sz w:val="48"/>
      <w:szCs w:val="48"/>
      <w:lang w:eastAsia="zh-CN"/>
    </w:rPr>
  </w:style>
  <w:style w:type="paragraph" w:styleId="Heading3">
    <w:name w:val="heading 3"/>
    <w:basedOn w:val="Normal"/>
    <w:link w:val="Heading3Char"/>
    <w:uiPriority w:val="9"/>
    <w:qFormat/>
    <w:rsid w:val="00302528"/>
    <w:pPr>
      <w:spacing w:before="100" w:beforeAutospacing="1" w:after="100" w:afterAutospacing="1"/>
      <w:outlineLvl w:val="2"/>
    </w:pPr>
    <w:rPr>
      <w:rFonts w:ascii="Times New Roman" w:hAnsi="Times New Roman" w:cs="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D22"/>
    <w:rPr>
      <w:rFonts w:ascii="Arial" w:hAnsi="Arial"/>
      <w:color w:val="000000" w:themeColor="text1"/>
      <w:u w:val="none"/>
    </w:rPr>
  </w:style>
  <w:style w:type="paragraph" w:styleId="Header">
    <w:name w:val="header"/>
    <w:basedOn w:val="Normal"/>
    <w:link w:val="HeaderChar"/>
    <w:uiPriority w:val="99"/>
    <w:unhideWhenUsed/>
    <w:rsid w:val="00302528"/>
    <w:pPr>
      <w:tabs>
        <w:tab w:val="center" w:pos="4680"/>
        <w:tab w:val="right" w:pos="9360"/>
      </w:tabs>
    </w:pPr>
  </w:style>
  <w:style w:type="character" w:customStyle="1" w:styleId="HeaderChar">
    <w:name w:val="Header Char"/>
    <w:basedOn w:val="DefaultParagraphFont"/>
    <w:link w:val="Header"/>
    <w:uiPriority w:val="99"/>
    <w:rsid w:val="00302528"/>
  </w:style>
  <w:style w:type="paragraph" w:styleId="Footer">
    <w:name w:val="footer"/>
    <w:basedOn w:val="Normal"/>
    <w:link w:val="FooterChar"/>
    <w:uiPriority w:val="99"/>
    <w:unhideWhenUsed/>
    <w:rsid w:val="00302528"/>
    <w:pPr>
      <w:tabs>
        <w:tab w:val="center" w:pos="4680"/>
        <w:tab w:val="right" w:pos="9360"/>
      </w:tabs>
    </w:pPr>
  </w:style>
  <w:style w:type="character" w:customStyle="1" w:styleId="FooterChar">
    <w:name w:val="Footer Char"/>
    <w:basedOn w:val="DefaultParagraphFont"/>
    <w:link w:val="Footer"/>
    <w:uiPriority w:val="99"/>
    <w:rsid w:val="00302528"/>
  </w:style>
  <w:style w:type="character" w:customStyle="1" w:styleId="Heading1Char">
    <w:name w:val="Heading 1 Char"/>
    <w:basedOn w:val="DefaultParagraphFont"/>
    <w:link w:val="Heading1"/>
    <w:uiPriority w:val="9"/>
    <w:rsid w:val="00302528"/>
    <w:rPr>
      <w:rFonts w:ascii="Times New Roman" w:hAnsi="Times New Roman" w:cs="Times New Roman"/>
      <w:b/>
      <w:bCs/>
      <w:kern w:val="36"/>
      <w:sz w:val="48"/>
      <w:szCs w:val="48"/>
      <w:lang w:eastAsia="zh-CN"/>
    </w:rPr>
  </w:style>
  <w:style w:type="character" w:customStyle="1" w:styleId="Heading3Char">
    <w:name w:val="Heading 3 Char"/>
    <w:basedOn w:val="DefaultParagraphFont"/>
    <w:link w:val="Heading3"/>
    <w:uiPriority w:val="9"/>
    <w:rsid w:val="00302528"/>
    <w:rPr>
      <w:rFonts w:ascii="Times New Roman" w:hAnsi="Times New Roman" w:cs="Times New Roman"/>
      <w:b/>
      <w:bCs/>
      <w:sz w:val="27"/>
      <w:szCs w:val="27"/>
      <w:lang w:eastAsia="zh-CN"/>
    </w:rPr>
  </w:style>
  <w:style w:type="paragraph" w:styleId="NormalWeb">
    <w:name w:val="Normal (Web)"/>
    <w:basedOn w:val="Normal"/>
    <w:uiPriority w:val="99"/>
    <w:semiHidden/>
    <w:unhideWhenUsed/>
    <w:rsid w:val="00302528"/>
    <w:pPr>
      <w:spacing w:before="100" w:beforeAutospacing="1" w:after="100" w:afterAutospacing="1"/>
    </w:pPr>
    <w:rPr>
      <w:rFonts w:ascii="Times New Roman" w:hAnsi="Times New Roman" w:cs="Times New Roman"/>
      <w:lang w:eastAsia="zh-CN"/>
    </w:rPr>
  </w:style>
  <w:style w:type="character" w:styleId="Strong">
    <w:name w:val="Strong"/>
    <w:basedOn w:val="DefaultParagraphFont"/>
    <w:uiPriority w:val="22"/>
    <w:qFormat/>
    <w:rsid w:val="00302528"/>
    <w:rPr>
      <w:b/>
      <w:bCs/>
    </w:rPr>
  </w:style>
  <w:style w:type="character" w:styleId="PageNumber">
    <w:name w:val="page number"/>
    <w:basedOn w:val="DefaultParagraphFont"/>
    <w:uiPriority w:val="99"/>
    <w:rsid w:val="00187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7680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law.justia.com/codes/colorado/2017/title-15/colorado-probate-code/article-14/part-7/subpart-2/section-15-14-736/index.html" TargetMode="External"/><Relationship Id="rId21" Type="http://schemas.openxmlformats.org/officeDocument/2006/relationships/hyperlink" Target="https://law.justia.com/codes/colorado/2017/title-15/colorado-probate-code/article-14/part-7/subpart-2/section-15-14-737/index.html" TargetMode="External"/><Relationship Id="rId22" Type="http://schemas.openxmlformats.org/officeDocument/2006/relationships/hyperlink" Target="https://law.justia.com/codes/colorado/2017/title-15/colorado-probate-code/article-14/part-7/subpart-2/section-15-14-738/index.html" TargetMode="External"/><Relationship Id="rId23" Type="http://schemas.openxmlformats.org/officeDocument/2006/relationships/hyperlink" Target="https://law.justia.com/codes/colorado/2017/title-15/colorado-probate-code/article-14/part-7/subpart-2/section-15-14-739/index.html" TargetMode="External"/><Relationship Id="rId24" Type="http://schemas.openxmlformats.org/officeDocument/2006/relationships/hyperlink" Target="https://eforms.com/estate-planning/current-assets-list/" TargetMode="External"/><Relationship Id="rId25" Type="http://schemas.openxmlformats.org/officeDocument/2006/relationships/hyperlink" Target="https://eforms.com/wills/colorado-last-will-and-testament-template/" TargetMode="External"/><Relationship Id="rId26" Type="http://schemas.openxmlformats.org/officeDocument/2006/relationships/hyperlink" Target="https://law.justia.com/codes/colorado/2017/title-15/colorado-probate-code/article-11/part-5/section-15-11-502/" TargetMode="External"/><Relationship Id="rId27" Type="http://schemas.openxmlformats.org/officeDocument/2006/relationships/hyperlink" Target="https://eforms.com/living-trust/co/colorado-revocable-living-trust-form/" TargetMode="External"/><Relationship Id="rId28" Type="http://schemas.openxmlformats.org/officeDocument/2006/relationships/hyperlink" Target="https://law.justia.com/codes/colorado/2017/title-15/colorado-probate-code/article-16/part-1/section-15-16-101/" TargetMode="External"/><Relationship Id="rId29" Type="http://schemas.openxmlformats.org/officeDocument/2006/relationships/hyperlink" Target="https://www.courts.state.co.us/Courts/District/Choose.cf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law.justia.com/codes/colorado/2017/title-15/colorado-probate-code/article-14/part-5/section-15-14-506/" TargetMode="External"/><Relationship Id="rId31" Type="http://schemas.openxmlformats.org/officeDocument/2006/relationships/hyperlink" Target="https://law.justia.com/codes/colorado/2017/title-15/colorado-probate-code/article-14/part-7/" TargetMode="External"/><Relationship Id="rId32" Type="http://schemas.openxmlformats.org/officeDocument/2006/relationships/hyperlink" Target="https://law.justia.com/codes/colorado/2017/title-15/colorado-probate-code/article-11/" TargetMode="External"/><Relationship Id="rId9" Type="http://schemas.openxmlformats.org/officeDocument/2006/relationships/hyperlink" Target="https://eforms.com/power-of-attorney/co/colorado-durable-power-of-attorney/" TargetMode="External"/><Relationship Id="rId6" Type="http://schemas.openxmlformats.org/officeDocument/2006/relationships/endnotes" Target="endnotes.xml"/><Relationship Id="rId7" Type="http://schemas.openxmlformats.org/officeDocument/2006/relationships/hyperlink" Target="https://eforms.com/power-of-attorney/co/colorado-medical-durable-power-of-attorney/" TargetMode="External"/><Relationship Id="rId8" Type="http://schemas.openxmlformats.org/officeDocument/2006/relationships/hyperlink" Target="https://law.justia.com/codes/colorado/2017/title-15/colorado-probate-code/article-14/part-7/subpart-1/section-15-14-705/" TargetMode="External"/><Relationship Id="rId33" Type="http://schemas.openxmlformats.org/officeDocument/2006/relationships/hyperlink" Target="https://law.justia.com/codes/colorado/2017/title-15/colorado-probate-code/article-16/" TargetMode="External"/><Relationship Id="rId34" Type="http://schemas.openxmlformats.org/officeDocument/2006/relationships/footer" Target="footer1.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s://law.justia.com/codes/colorado/2017/title-15/colorado-probate-code/article-14/part-7/subpart-1/section-15-14-705/" TargetMode="External"/><Relationship Id="rId11" Type="http://schemas.openxmlformats.org/officeDocument/2006/relationships/hyperlink" Target="https://law.justia.com/codes/colorado/2017/title-15/colorado-probate-code/article-14/part-7/subpart-2/section-15-14-727/index.html" TargetMode="External"/><Relationship Id="rId12" Type="http://schemas.openxmlformats.org/officeDocument/2006/relationships/hyperlink" Target="https://law.justia.com/codes/colorado/2017/title-15/colorado-probate-code/article-14/part-7/subpart-2/section-15-14-728/index.html" TargetMode="External"/><Relationship Id="rId13" Type="http://schemas.openxmlformats.org/officeDocument/2006/relationships/hyperlink" Target="https://law.justia.com/codes/colorado/2017/title-15/colorado-probate-code/article-14/part-7/subpart-2/section-15-14-729/index.html" TargetMode="External"/><Relationship Id="rId14" Type="http://schemas.openxmlformats.org/officeDocument/2006/relationships/hyperlink" Target="https://law.justia.com/codes/colorado/2017/title-15/colorado-probate-code/article-14/part-7/subpart-2/section-15-14-730/index.html" TargetMode="External"/><Relationship Id="rId15" Type="http://schemas.openxmlformats.org/officeDocument/2006/relationships/hyperlink" Target="https://law.justia.com/codes/colorado/2017/title-15/colorado-probate-code/article-14/part-7/subpart-2/section-15-14-731/index.html" TargetMode="External"/><Relationship Id="rId16" Type="http://schemas.openxmlformats.org/officeDocument/2006/relationships/hyperlink" Target="https://law.justia.com/codes/colorado/2017/title-15/colorado-probate-code/article-14/part-7/subpart-2/section-15-14-732/index.html" TargetMode="External"/><Relationship Id="rId17" Type="http://schemas.openxmlformats.org/officeDocument/2006/relationships/hyperlink" Target="https://law.justia.com/codes/colorado/2017/title-15/colorado-probate-code/article-14/part-7/subpart-2/section-15-14-733/index.html" TargetMode="External"/><Relationship Id="rId18" Type="http://schemas.openxmlformats.org/officeDocument/2006/relationships/hyperlink" Target="https://law.justia.com/codes/colorado/2017/title-15/colorado-probate-code/article-14/part-7/subpart-2/section-15-14-734/index.html" TargetMode="External"/><Relationship Id="rId19" Type="http://schemas.openxmlformats.org/officeDocument/2006/relationships/hyperlink" Target="https://law.justia.com/codes/colorado/2017/title-15/colorado-probate-code/article-14/part-7/subpart-2/section-15-14-735/index.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forms.com/" TargetMode="External"/><Relationship Id="rId2"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1533</Words>
  <Characters>8573</Characters>
  <Application>Microsoft Macintosh Word</Application>
  <DocSecurity>0</DocSecurity>
  <Lines>171</Lines>
  <Paragraphs>79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Step 1 – Choose a Health Care Surrogate</vt:lpstr>
      <vt:lpstr>        Step 2 – Choose a Financial Agent</vt:lpstr>
      <vt:lpstr>        Step 3 – Create a List of Assets</vt:lpstr>
      <vt:lpstr>        Step 4 – Choose the Beneficiaries and Designate Assets</vt:lpstr>
      <vt:lpstr>        Step 5 – Draft an Estate Distribution Document</vt:lpstr>
      <vt:lpstr>        Step 6 – Keep the Documents Safe</vt:lpstr>
      <vt:lpstr>Colorado Estate Planning Laws</vt:lpstr>
    </vt:vector>
  </TitlesOfParts>
  <Manager/>
  <Company/>
  <LinksUpToDate>false</LinksUpToDate>
  <CharactersWithSpaces>10027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Estate Planning Checklist</dc:title>
  <dc:subject/>
  <dc:creator>eForms</dc:creator>
  <cp:keywords/>
  <dc:description/>
  <cp:lastModifiedBy>Corbin Steele</cp:lastModifiedBy>
  <cp:revision>4</cp:revision>
  <dcterms:created xsi:type="dcterms:W3CDTF">2018-12-19T17:46:00Z</dcterms:created>
  <dcterms:modified xsi:type="dcterms:W3CDTF">2018-12-19T17:53:00Z</dcterms:modified>
  <cp:category/>
</cp:coreProperties>
</file>