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5435B3FC" w:rsidR="00522233" w:rsidRPr="001159A4" w:rsidRDefault="00520779" w:rsidP="00C146E1">
      <w:pPr>
        <w:jc w:val="center"/>
        <w:rPr>
          <w:rFonts w:ascii="Arial" w:hAnsi="Arial" w:cs="Arial"/>
          <w:b/>
          <w:bCs/>
          <w:sz w:val="32"/>
          <w:szCs w:val="32"/>
        </w:rPr>
      </w:pPr>
      <w:r w:rsidRPr="001159A4">
        <w:rPr>
          <w:rFonts w:ascii="Arial" w:hAnsi="Arial" w:cs="Arial"/>
          <w:b/>
          <w:bCs/>
          <w:sz w:val="32"/>
          <w:szCs w:val="32"/>
        </w:rPr>
        <w:t>BUSINESS TERMS OF USE</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59EB8F2C" w14:textId="77777777" w:rsidR="001159A4" w:rsidRDefault="001159A4">
      <w:pPr>
        <w:rPr>
          <w:rFonts w:ascii="Arial" w:hAnsi="Arial" w:cs="Arial"/>
          <w:b/>
          <w:bCs/>
        </w:rPr>
      </w:pPr>
      <w:r>
        <w:rPr>
          <w:rFonts w:ascii="Arial" w:hAnsi="Arial" w:cs="Arial"/>
          <w:b/>
          <w:bCs/>
        </w:rPr>
        <w:br w:type="page"/>
      </w:r>
    </w:p>
    <w:p w14:paraId="152B2E1C" w14:textId="76C76145"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77777777"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77777777"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77777777"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37C29FBE" w14:textId="433BC5B7" w:rsidR="00DE6A7B" w:rsidRPr="004A50D0" w:rsidRDefault="00000000" w:rsidP="000E69EE">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w:t>
      </w:r>
      <w:r w:rsidR="000E69EE">
        <w:rPr>
          <w:rFonts w:ascii="Arial" w:hAnsi="Arial" w:cs="Arial"/>
        </w:rPr>
        <w:t xml:space="preserve"> paid </w:t>
      </w:r>
      <w:r w:rsidR="00C41723" w:rsidRPr="004A50D0">
        <w:rPr>
          <w:rFonts w:ascii="Arial" w:hAnsi="Arial" w:cs="Arial"/>
        </w:rPr>
        <w:t>in accordance with the terms below:</w:t>
      </w:r>
    </w:p>
    <w:p w14:paraId="40771663" w14:textId="77777777" w:rsidR="00D028BD" w:rsidRPr="004A50D0" w:rsidRDefault="00D028BD" w:rsidP="00D028BD">
      <w:pPr>
        <w:rPr>
          <w:rFonts w:ascii="Arial" w:hAnsi="Arial" w:cs="Arial"/>
        </w:rPr>
      </w:pPr>
    </w:p>
    <w:p w14:paraId="33A2B00E" w14:textId="77777777"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77777777"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77777777"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77777777"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t>Fee Changes</w:t>
      </w:r>
      <w:bookmarkEnd w:id="7"/>
      <w:r w:rsidRPr="004A50D0">
        <w:rPr>
          <w:rFonts w:ascii="Arial" w:hAnsi="Arial" w:cs="Arial"/>
        </w:rPr>
        <w:t xml:space="preserve">. If any changes occur to the subscription amount, </w:t>
      </w:r>
      <w:r w:rsidR="001F52C8" w:rsidRPr="004A50D0">
        <w:rPr>
          <w:rFonts w:ascii="Arial" w:hAnsi="Arial" w:cs="Arial"/>
        </w:rPr>
        <w:t>you will be given notice of at least one (1) billing cycle prior to the change taking effect. Notice will be provided by e-mail on your registered account or profile.</w:t>
      </w:r>
    </w:p>
    <w:p w14:paraId="73AB69F3" w14:textId="77777777"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lastRenderedPageBreak/>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77777777"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77777777"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77777777"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77777777"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77777777"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77777777"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lastRenderedPageBreak/>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77777777"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w:t>
      </w:r>
      <w:r w:rsidR="00C737EC" w:rsidRPr="004A50D0">
        <w:rPr>
          <w:rFonts w:ascii="Arial" w:hAnsi="Arial" w:cs="Arial"/>
        </w:rPr>
        <w:lastRenderedPageBreak/>
        <w:t>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77777777"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lastRenderedPageBreak/>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77777777"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lastRenderedPageBreak/>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77777777"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77777777"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77777777"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lastRenderedPageBreak/>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77777777" w:rsidR="008D1C0C" w:rsidRPr="004A50D0" w:rsidRDefault="00000000" w:rsidP="003E7C16">
      <w:pPr>
        <w:pStyle w:val="Heading2"/>
        <w:numPr>
          <w:ilvl w:val="0"/>
          <w:numId w:val="20"/>
        </w:numPr>
        <w:ind w:left="360"/>
        <w:rPr>
          <w:rFonts w:cs="Arial"/>
          <w:bCs/>
        </w:rPr>
      </w:pPr>
      <w:bookmarkStart w:id="21" w:name="_Toc114389267"/>
      <w:r w:rsidRPr="004A50D0">
        <w:rPr>
          <w:rFonts w:cs="Arial"/>
        </w:rPr>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77777777"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77777777"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77777777"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77777777"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lastRenderedPageBreak/>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77777777"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77777777"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lastRenderedPageBreak/>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77777777"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77777777"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77777777"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lastRenderedPageBreak/>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77777777"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use of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77777777"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77777777"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77777777"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77777777"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77777777"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77777777"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 xml:space="preserve">Some jurisdictions do not allow the exclusion of certain types of warranties or limitations on the applicable statutory rights of a consumer. Therefore, some or all of the above </w:t>
      </w:r>
      <w:r w:rsidRPr="00C776E5">
        <w:rPr>
          <w:rFonts w:ascii="Arial" w:hAnsi="Arial" w:cs="Arial"/>
        </w:rPr>
        <w:lastRenderedPageBreak/>
        <w:t>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77777777"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77777777"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77777777"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or any type or kind of electronic records or communication, you consent that all agreements, notices, disclosures, and other communications we provide to you in such manner satisfies any legal requirement that such communication should be in writing. You 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77777777"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lastRenderedPageBreak/>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77777777"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77777777"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t>
      </w:r>
      <w:r w:rsidRPr="004A50D0">
        <w:rPr>
          <w:rFonts w:ascii="Arial" w:hAnsi="Arial" w:cs="Arial"/>
        </w:rPr>
        <w:lastRenderedPageBreak/>
        <w:t xml:space="preserve">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1159A4">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4DEA" w14:textId="77777777" w:rsidR="00313AC3" w:rsidRDefault="00313AC3">
      <w:r>
        <w:separator/>
      </w:r>
    </w:p>
  </w:endnote>
  <w:endnote w:type="continuationSeparator" w:id="0">
    <w:p w14:paraId="718F3D5A" w14:textId="77777777" w:rsidR="00313AC3" w:rsidRDefault="0031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7491" w14:textId="77777777" w:rsidR="00313AC3" w:rsidRDefault="00313AC3">
      <w:r>
        <w:separator/>
      </w:r>
    </w:p>
  </w:footnote>
  <w:footnote w:type="continuationSeparator" w:id="0">
    <w:p w14:paraId="6A5BA76C" w14:textId="77777777" w:rsidR="00313AC3" w:rsidRDefault="0031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0D6CA2"/>
    <w:rsid w:val="000E69EE"/>
    <w:rsid w:val="00104EC5"/>
    <w:rsid w:val="00106288"/>
    <w:rsid w:val="001159A4"/>
    <w:rsid w:val="0012332C"/>
    <w:rsid w:val="00127286"/>
    <w:rsid w:val="00130790"/>
    <w:rsid w:val="001366BD"/>
    <w:rsid w:val="0014593E"/>
    <w:rsid w:val="001531BE"/>
    <w:rsid w:val="0017564C"/>
    <w:rsid w:val="00175B2E"/>
    <w:rsid w:val="00177B74"/>
    <w:rsid w:val="001B2483"/>
    <w:rsid w:val="001C2517"/>
    <w:rsid w:val="001D4A69"/>
    <w:rsid w:val="001F1517"/>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F0515"/>
    <w:rsid w:val="00313AC3"/>
    <w:rsid w:val="003159F0"/>
    <w:rsid w:val="00315A6F"/>
    <w:rsid w:val="00337E3B"/>
    <w:rsid w:val="00344427"/>
    <w:rsid w:val="00354D00"/>
    <w:rsid w:val="003575B3"/>
    <w:rsid w:val="00366DEF"/>
    <w:rsid w:val="0039340E"/>
    <w:rsid w:val="003A4CC3"/>
    <w:rsid w:val="003A76C2"/>
    <w:rsid w:val="003B4E96"/>
    <w:rsid w:val="003B6416"/>
    <w:rsid w:val="003B7988"/>
    <w:rsid w:val="003E5C19"/>
    <w:rsid w:val="003E7C16"/>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11D8A"/>
    <w:rsid w:val="00520779"/>
    <w:rsid w:val="00522233"/>
    <w:rsid w:val="005418DF"/>
    <w:rsid w:val="00542A66"/>
    <w:rsid w:val="00554086"/>
    <w:rsid w:val="00560EBB"/>
    <w:rsid w:val="00565B22"/>
    <w:rsid w:val="005948B8"/>
    <w:rsid w:val="00594FCA"/>
    <w:rsid w:val="005C57D5"/>
    <w:rsid w:val="005E4AA8"/>
    <w:rsid w:val="005F0587"/>
    <w:rsid w:val="005F6875"/>
    <w:rsid w:val="0062278B"/>
    <w:rsid w:val="006356BD"/>
    <w:rsid w:val="00650757"/>
    <w:rsid w:val="00667420"/>
    <w:rsid w:val="0067147C"/>
    <w:rsid w:val="00682CA1"/>
    <w:rsid w:val="006901AF"/>
    <w:rsid w:val="006971A2"/>
    <w:rsid w:val="00702900"/>
    <w:rsid w:val="00703704"/>
    <w:rsid w:val="00710E30"/>
    <w:rsid w:val="00715F02"/>
    <w:rsid w:val="007235B1"/>
    <w:rsid w:val="00734015"/>
    <w:rsid w:val="00745562"/>
    <w:rsid w:val="00760050"/>
    <w:rsid w:val="007809B2"/>
    <w:rsid w:val="007857D4"/>
    <w:rsid w:val="00786072"/>
    <w:rsid w:val="00794AFF"/>
    <w:rsid w:val="007A316A"/>
    <w:rsid w:val="007A73B5"/>
    <w:rsid w:val="007D120A"/>
    <w:rsid w:val="007D7CCA"/>
    <w:rsid w:val="00805F3A"/>
    <w:rsid w:val="00821B6A"/>
    <w:rsid w:val="00830229"/>
    <w:rsid w:val="008318A3"/>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1636C"/>
    <w:rsid w:val="00E26336"/>
    <w:rsid w:val="00E27190"/>
    <w:rsid w:val="00E47DA8"/>
    <w:rsid w:val="00E61828"/>
    <w:rsid w:val="00E64106"/>
    <w:rsid w:val="00E65E6D"/>
    <w:rsid w:val="00E816FC"/>
    <w:rsid w:val="00EA31DA"/>
    <w:rsid w:val="00EA4341"/>
    <w:rsid w:val="00EC037F"/>
    <w:rsid w:val="00EC77CB"/>
    <w:rsid w:val="00F178C4"/>
    <w:rsid w:val="00F17F94"/>
    <w:rsid w:val="00F441D3"/>
    <w:rsid w:val="00F505CE"/>
    <w:rsid w:val="00F50776"/>
    <w:rsid w:val="00F67700"/>
    <w:rsid w:val="00F8029E"/>
    <w:rsid w:val="00F94990"/>
    <w:rsid w:val="00FB718C"/>
    <w:rsid w:val="00FD1685"/>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5EC-A101-064D-B52D-C5BD050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6487</Words>
  <Characters>33863</Characters>
  <Application>Microsoft Office Word</Application>
  <DocSecurity>0</DocSecurity>
  <Lines>769</Lines>
  <Paragraphs>322</Paragraphs>
  <ScaleCrop>false</ScaleCrop>
  <HeadingPairs>
    <vt:vector size="2" baseType="variant">
      <vt:variant>
        <vt:lpstr>Title</vt:lpstr>
      </vt:variant>
      <vt:variant>
        <vt:i4>1</vt:i4>
      </vt:variant>
    </vt:vector>
  </HeadingPairs>
  <TitlesOfParts>
    <vt:vector size="1" baseType="lpstr">
      <vt:lpstr>Business Terms and Conditions Template</vt:lpstr>
    </vt:vector>
  </TitlesOfParts>
  <Manager/>
  <Company/>
  <LinksUpToDate>false</LinksUpToDate>
  <CharactersWithSpaces>40028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Terms and Conditions Template</dc:title>
  <dc:subject/>
  <dc:creator>eForms</dc:creator>
  <cp:keywords/>
  <dc:description/>
  <cp:lastModifiedBy>Joseph Gendron</cp:lastModifiedBy>
  <cp:revision>4</cp:revision>
  <dcterms:created xsi:type="dcterms:W3CDTF">2023-01-24T16:34:00Z</dcterms:created>
  <dcterms:modified xsi:type="dcterms:W3CDTF">2023-01-24T16:39:00Z</dcterms:modified>
  <cp:category/>
</cp:coreProperties>
</file>