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15820E07" w:rsidR="00B91890" w:rsidRDefault="000722E6" w:rsidP="00A35873">
      <w:pPr>
        <w:pStyle w:val="Exhibitsmall"/>
        <w:widowControl w:val="0"/>
        <w:spacing w:before="200" w:line="240" w:lineRule="auto"/>
        <w:jc w:val="center"/>
        <w:outlineLvl w:val="0"/>
        <w:rPr>
          <w:rFonts w:ascii="Arial" w:hAnsi="Arial" w:cs="Arial"/>
          <w:b/>
          <w:sz w:val="40"/>
          <w:szCs w:val="40"/>
        </w:rPr>
      </w:pPr>
      <w:r>
        <w:rPr>
          <w:rFonts w:ascii="Arial" w:hAnsi="Arial" w:cs="Arial"/>
          <w:b/>
          <w:sz w:val="40"/>
          <w:szCs w:val="40"/>
        </w:rPr>
        <w:t>O</w:t>
      </w:r>
      <w:r w:rsidR="00813C79">
        <w:rPr>
          <w:rFonts w:ascii="Arial" w:hAnsi="Arial" w:cs="Arial"/>
          <w:b/>
          <w:sz w:val="40"/>
          <w:szCs w:val="40"/>
        </w:rPr>
        <w:t>REGON</w:t>
      </w:r>
      <w:r w:rsidR="00BA2AAD">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0F6D1004"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234AC1">
            <w:rPr>
              <w:rFonts w:ascii="MS Gothic" w:eastAsia="MS Gothic" w:hAnsi="MS Gothic" w:cs="Arial" w:hint="eastAsia"/>
            </w:rPr>
            <w:t>☐</w:t>
          </w:r>
        </w:sdtContent>
      </w:sdt>
      <w:bookmarkEnd w:id="0"/>
      <w:r w:rsidR="00234AC1">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1685170588"/>
          <w14:checkbox>
            <w14:checked w14:val="0"/>
            <w14:checkedState w14:val="2612" w14:font="MS Gothic"/>
            <w14:uncheckedState w14:val="2610" w14:font="MS Gothic"/>
          </w14:checkbox>
        </w:sdtPr>
        <w:sdtContent>
          <w:r w:rsidR="00234AC1">
            <w:rPr>
              <w:rFonts w:ascii="MS Gothic" w:eastAsia="MS Gothic" w:hAnsi="MS Gothic" w:cs="Arial" w:hint="eastAsia"/>
            </w:rPr>
            <w:t>☐</w:t>
          </w:r>
        </w:sdtContent>
      </w:sdt>
      <w:r w:rsidR="00234AC1">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All personal property including but not limited to</w:t>
      </w:r>
      <w:r w:rsidR="0034684D">
        <w:rPr>
          <w:rFonts w:ascii="Arial" w:hAnsi="Arial" w:cs="Arial"/>
          <w:sz w:val="24"/>
          <w:szCs w:val="24"/>
        </w:rPr>
        <w:t>:</w:t>
      </w:r>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7730D6CD" w:rsidR="00B42F7A" w:rsidRDefault="00234AC1"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12526997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06A9ED70" w:rsidR="00B42F7A" w:rsidRDefault="00234AC1"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9294346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needed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6B682F63" w:rsidR="001D2FA6" w:rsidRDefault="00234AC1"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6782405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1433190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873441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56DA832C" w:rsidR="00F25E23" w:rsidRDefault="00234AC1"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10175382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3D98E121" w:rsidR="00015D9D" w:rsidRPr="00015D9D" w:rsidRDefault="006F2DA3" w:rsidP="00A35873">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813C79">
        <w:rPr>
          <w:rFonts w:ascii="Arial" w:hAnsi="Arial" w:cs="Arial"/>
          <w:sz w:val="24"/>
          <w:szCs w:val="24"/>
        </w:rPr>
        <w:t>Oregon</w:t>
      </w:r>
      <w:r w:rsidR="00922F26">
        <w:rPr>
          <w:rFonts w:ascii="Arial" w:hAnsi="Arial" w:cs="Arial"/>
          <w:sz w:val="24"/>
          <w:szCs w:val="24"/>
        </w:rPr>
        <w:t xml:space="preserve">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Payment of Death Taxes, Administration Expenses, Etc.:</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and all Federal and State taxes in the nature of estate,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5776280E"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935868869"/>
          <w14:checkbox>
            <w14:checked w14:val="0"/>
            <w14:checkedState w14:val="2612" w14:font="MS Gothic"/>
            <w14:uncheckedState w14:val="2610" w14:font="MS Gothic"/>
          </w14:checkbox>
        </w:sdtPr>
        <w:sdtContent>
          <w:r w:rsidR="00234AC1">
            <w:rPr>
              <w:rFonts w:ascii="MS Gothic" w:eastAsia="MS Gothic" w:hAnsi="MS Gothic" w:cs="Arial" w:hint="eastAsia"/>
            </w:rPr>
            <w:t>☐</w:t>
          </w:r>
        </w:sdtContent>
      </w:sdt>
      <w:r w:rsidR="00234AC1">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1443117339"/>
          <w14:checkbox>
            <w14:checked w14:val="0"/>
            <w14:checkedState w14:val="2612" w14:font="MS Gothic"/>
            <w14:uncheckedState w14:val="2610" w14:font="MS Gothic"/>
          </w14:checkbox>
        </w:sdtPr>
        <w:sdtContent>
          <w:r w:rsidR="00234AC1">
            <w:rPr>
              <w:rFonts w:ascii="MS Gothic" w:eastAsia="MS Gothic" w:hAnsi="MS Gothic" w:cs="Arial" w:hint="eastAsia"/>
            </w:rPr>
            <w:t>☐</w:t>
          </w:r>
        </w:sdtContent>
      </w:sdt>
      <w:r w:rsidR="00234AC1">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In the event neither is ab</w:t>
      </w:r>
      <w:r w:rsidR="00DB544D">
        <w:rPr>
          <w:rFonts w:ascii="Arial" w:hAnsi="Arial" w:cs="Arial"/>
          <w:sz w:val="24"/>
          <w:szCs w:val="24"/>
        </w:rPr>
        <w:t>le to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serve as Successor Trustee. If the Beneficiaries cannot agree to a Successor Trustee within 30 days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as long as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1C620572"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shall have the right to remove any Trustee. Should any Trustee hereunder become</w:t>
      </w:r>
      <w:r w:rsidR="00522A46" w:rsidRPr="00015D9D">
        <w:rPr>
          <w:rFonts w:ascii="Arial" w:hAnsi="Arial" w:cs="Arial"/>
          <w:sz w:val="24"/>
          <w:szCs w:val="24"/>
        </w:rPr>
        <w:t xml:space="preserve"> inc</w:t>
      </w:r>
      <w:r w:rsidR="00522A46">
        <w:rPr>
          <w:rFonts w:ascii="Arial" w:hAnsi="Arial" w:cs="Arial"/>
          <w:sz w:val="24"/>
          <w:szCs w:val="24"/>
        </w:rPr>
        <w:t>apacitated</w:t>
      </w:r>
      <w:r w:rsidRPr="00015D9D">
        <w:rPr>
          <w:rFonts w:ascii="Arial" w:hAnsi="Arial" w:cs="Arial"/>
          <w:sz w:val="24"/>
          <w:szCs w:val="24"/>
        </w:rPr>
        <w:t xml:space="preserve">, 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12142E74" w:rsidR="002B74CD" w:rsidRDefault="00234AC1"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4862409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6F7AF51" w:rsidR="00015D9D" w:rsidRPr="00015D9D" w:rsidRDefault="00234AC1"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1137115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54BCDB7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ma</w:t>
      </w:r>
      <w:r w:rsidR="00F946FA">
        <w:rPr>
          <w:rFonts w:ascii="Arial" w:hAnsi="Arial" w:cs="Arial"/>
          <w:sz w:val="24"/>
          <w:szCs w:val="24"/>
        </w:rPr>
        <w:t>de and ex</w:t>
      </w:r>
      <w:r w:rsidR="00D739FB">
        <w:rPr>
          <w:rFonts w:ascii="Arial" w:hAnsi="Arial" w:cs="Arial"/>
          <w:sz w:val="24"/>
          <w:szCs w:val="24"/>
        </w:rPr>
        <w:t xml:space="preserve">ecuted in the State of </w:t>
      </w:r>
      <w:r w:rsidR="000722E6">
        <w:rPr>
          <w:rFonts w:ascii="Arial" w:hAnsi="Arial" w:cs="Arial"/>
          <w:sz w:val="24"/>
          <w:szCs w:val="24"/>
        </w:rPr>
        <w:t>O</w:t>
      </w:r>
      <w:r w:rsidR="00813C79">
        <w:rPr>
          <w:rFonts w:ascii="Arial" w:hAnsi="Arial" w:cs="Arial"/>
          <w:sz w:val="24"/>
          <w:szCs w:val="24"/>
        </w:rPr>
        <w:t xml:space="preserve">regon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is capable of managing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2EDA87B9" w:rsidR="008E32ED" w:rsidRPr="008E32ED" w:rsidRDefault="00234AC1"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3188361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58E2C824" w:rsidR="00F4686D" w:rsidRDefault="00234AC1"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8384560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4301C006" w:rsidR="00F4686D" w:rsidRDefault="00234AC1"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0876066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6C810880" w:rsidR="008E32ED" w:rsidRDefault="00234AC1"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2182841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7F4FBF4F"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9172E5" w:rsidRPr="009172E5">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5CC4E189"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9172E5" w:rsidRPr="009172E5">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6D96EE4B"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9172E5">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25FF42AD"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r w:rsidR="009172E5" w:rsidRPr="006F1730">
        <w:rPr>
          <w:rFonts w:ascii="Arial" w:hAnsi="Arial" w:cs="Arial"/>
          <w:sz w:val="24"/>
          <w:szCs w:val="24"/>
        </w:rPr>
        <w:t xml:space="preserve"> </w:t>
      </w:r>
      <w:hyperlink r:id="rId10" w:history="1">
        <w:r w:rsidR="009172E5" w:rsidRPr="009172E5">
          <w:rPr>
            <w:rStyle w:val="Hyperlink"/>
            <w:rFonts w:ascii="Arial" w:hAnsi="Arial" w:cs="Arial"/>
            <w:sz w:val="24"/>
            <w:szCs w:val="24"/>
          </w:rPr>
          <w:t>_________________________</w:t>
        </w:r>
      </w:hyperlink>
      <w:r w:rsidR="009172E5">
        <w:rPr>
          <w:rFonts w:ascii="Arial" w:hAnsi="Arial" w:cs="Arial"/>
          <w:sz w:val="24"/>
          <w:szCs w:val="24"/>
        </w:rPr>
        <w:t xml:space="preserve"> </w:t>
      </w:r>
      <w:r w:rsidR="00BB494E">
        <w:rPr>
          <w:rFonts w:ascii="Arial" w:hAnsi="Arial" w:cs="Arial"/>
          <w:sz w:val="24"/>
          <w:szCs w:val="24"/>
        </w:rPr>
        <w:t>Date __________________</w:t>
      </w:r>
    </w:p>
    <w:p w14:paraId="28B6B9A3" w14:textId="78273B51"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r w:rsidR="009172E5" w:rsidRPr="006F1730">
        <w:rPr>
          <w:rFonts w:ascii="Arial" w:hAnsi="Arial" w:cs="Arial"/>
          <w:sz w:val="24"/>
          <w:szCs w:val="24"/>
        </w:rPr>
        <w:t xml:space="preserve"> </w:t>
      </w:r>
      <w:hyperlink r:id="rId11" w:history="1">
        <w:r w:rsidR="009172E5" w:rsidRPr="009172E5">
          <w:rPr>
            <w:rStyle w:val="Hyperlink"/>
            <w:rFonts w:ascii="Arial" w:hAnsi="Arial" w:cs="Arial"/>
            <w:sz w:val="24"/>
            <w:szCs w:val="24"/>
          </w:rPr>
          <w:t>_________________________</w:t>
        </w:r>
      </w:hyperlink>
      <w:r w:rsidR="009172E5">
        <w:rPr>
          <w:rFonts w:ascii="Arial" w:hAnsi="Arial" w:cs="Arial"/>
          <w:sz w:val="24"/>
          <w:szCs w:val="24"/>
        </w:rPr>
        <w:t xml:space="preserve"> </w:t>
      </w:r>
      <w:r w:rsidR="006F1730">
        <w:rPr>
          <w:rFonts w:ascii="Arial" w:hAnsi="Arial" w:cs="Arial"/>
          <w:sz w:val="24"/>
          <w:szCs w:val="24"/>
        </w:rPr>
        <w:t>Date __________________</w:t>
      </w:r>
    </w:p>
    <w:p w14:paraId="39160B83" w14:textId="58E3E539"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9172E5">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151F022B"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9172E5">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1195FFED"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r w:rsidR="009172E5" w:rsidRPr="006F1730">
        <w:rPr>
          <w:rFonts w:ascii="Arial" w:hAnsi="Arial" w:cs="Arial"/>
          <w:sz w:val="24"/>
          <w:szCs w:val="24"/>
        </w:rPr>
        <w:t xml:space="preserve"> </w:t>
      </w:r>
      <w:hyperlink r:id="rId14" w:history="1">
        <w:r w:rsidR="009172E5" w:rsidRPr="009172E5">
          <w:rPr>
            <w:rStyle w:val="Hyperlink"/>
            <w:rFonts w:ascii="Arial" w:hAnsi="Arial" w:cs="Arial"/>
            <w:sz w:val="24"/>
            <w:szCs w:val="24"/>
          </w:rPr>
          <w:t>_________________________</w:t>
        </w:r>
      </w:hyperlink>
      <w:r>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2A90C5E4"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9172E5">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5F1248AE"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9172E5">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A77F" w14:textId="77777777" w:rsidR="00F81C32" w:rsidRDefault="00F81C32" w:rsidP="00015D9D">
      <w:pPr>
        <w:spacing w:before="0" w:line="240" w:lineRule="auto"/>
      </w:pPr>
      <w:r>
        <w:separator/>
      </w:r>
    </w:p>
  </w:endnote>
  <w:endnote w:type="continuationSeparator" w:id="0">
    <w:p w14:paraId="42DC8F3A" w14:textId="77777777" w:rsidR="00F81C32" w:rsidRDefault="00F81C32"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2E7236">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220D9A3C" w:rsidR="0034684D" w:rsidRPr="009908E0" w:rsidRDefault="002E7236" w:rsidP="002E7236">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7EE2B8EC" wp14:editId="5ADD40B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D3438" w14:textId="77777777" w:rsidR="00F81C32" w:rsidRDefault="00F81C32" w:rsidP="00015D9D">
      <w:pPr>
        <w:spacing w:before="0" w:line="240" w:lineRule="auto"/>
      </w:pPr>
      <w:r>
        <w:separator/>
      </w:r>
    </w:p>
  </w:footnote>
  <w:footnote w:type="continuationSeparator" w:id="0">
    <w:p w14:paraId="2558F268" w14:textId="77777777" w:rsidR="00F81C32" w:rsidRDefault="00F81C32"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E3E9" w14:textId="77777777" w:rsidR="002E7236" w:rsidRDefault="002E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58F32" w14:textId="77777777" w:rsidR="002E7236" w:rsidRDefault="002E7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945278">
    <w:abstractNumId w:val="0"/>
  </w:num>
  <w:num w:numId="2" w16cid:durableId="2133815248">
    <w:abstractNumId w:val="2"/>
  </w:num>
  <w:num w:numId="3" w16cid:durableId="41605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722E6"/>
    <w:rsid w:val="00094592"/>
    <w:rsid w:val="000A3DFE"/>
    <w:rsid w:val="000B6EA7"/>
    <w:rsid w:val="000F2575"/>
    <w:rsid w:val="00117F77"/>
    <w:rsid w:val="001573C2"/>
    <w:rsid w:val="00173236"/>
    <w:rsid w:val="00192534"/>
    <w:rsid w:val="001A4286"/>
    <w:rsid w:val="001A72C7"/>
    <w:rsid w:val="001C4517"/>
    <w:rsid w:val="001D11DC"/>
    <w:rsid w:val="001D2FA6"/>
    <w:rsid w:val="001F6BDD"/>
    <w:rsid w:val="00205D2E"/>
    <w:rsid w:val="002202EB"/>
    <w:rsid w:val="00234AC1"/>
    <w:rsid w:val="00241714"/>
    <w:rsid w:val="00242531"/>
    <w:rsid w:val="002964F8"/>
    <w:rsid w:val="002A36D2"/>
    <w:rsid w:val="002B7413"/>
    <w:rsid w:val="002B74CD"/>
    <w:rsid w:val="002B7577"/>
    <w:rsid w:val="002D5490"/>
    <w:rsid w:val="002E7236"/>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22A46"/>
    <w:rsid w:val="00532619"/>
    <w:rsid w:val="005A6BE0"/>
    <w:rsid w:val="005A6ECC"/>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13C79"/>
    <w:rsid w:val="00835C2E"/>
    <w:rsid w:val="00884D17"/>
    <w:rsid w:val="00892893"/>
    <w:rsid w:val="008B1EB2"/>
    <w:rsid w:val="008C5632"/>
    <w:rsid w:val="008E32ED"/>
    <w:rsid w:val="00905B2B"/>
    <w:rsid w:val="009172E5"/>
    <w:rsid w:val="00922F26"/>
    <w:rsid w:val="009337A1"/>
    <w:rsid w:val="00952D13"/>
    <w:rsid w:val="0096555B"/>
    <w:rsid w:val="00965A58"/>
    <w:rsid w:val="009905E4"/>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310E"/>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81160"/>
    <w:rsid w:val="00F81C32"/>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9172E5"/>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91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Oregon Revocable Living Trust Form</vt:lpstr>
    </vt:vector>
  </TitlesOfParts>
  <Manager/>
  <Company/>
  <LinksUpToDate>false</LinksUpToDate>
  <CharactersWithSpaces>30033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Revocable Living Trust Form</dc:title>
  <dc:subject/>
  <dc:creator>eForms</dc:creator>
  <cp:keywords/>
  <dc:description/>
  <cp:lastModifiedBy>Hansel Pupo</cp:lastModifiedBy>
  <cp:revision>6</cp:revision>
  <cp:lastPrinted>2016-06-17T07:41:00Z</cp:lastPrinted>
  <dcterms:created xsi:type="dcterms:W3CDTF">2017-08-30T18:47:00Z</dcterms:created>
  <dcterms:modified xsi:type="dcterms:W3CDTF">2022-06-29T21:52:00Z</dcterms:modified>
  <cp:category/>
</cp:coreProperties>
</file>