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18767DB3" w:rsidR="00FD71DB" w:rsidRDefault="00D93FC1">
      <w:pPr>
        <w:spacing w:line="360" w:lineRule="auto"/>
        <w:jc w:val="center"/>
        <w:rPr>
          <w:rFonts w:ascii="Arial" w:hAnsi="Arial" w:cs="Arial"/>
          <w:b/>
          <w:sz w:val="36"/>
          <w:szCs w:val="36"/>
        </w:rPr>
      </w:pPr>
      <w:r>
        <w:rPr>
          <w:rFonts w:ascii="Arial" w:hAnsi="Arial" w:cs="Arial"/>
          <w:b/>
          <w:sz w:val="36"/>
          <w:szCs w:val="36"/>
        </w:rPr>
        <w:t>MINNESOTA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2B212A27"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D93FC1">
        <w:rPr>
          <w:rFonts w:ascii="Arial" w:hAnsi="Arial" w:cs="Arial"/>
          <w:sz w:val="22"/>
          <w:szCs w:val="22"/>
        </w:rPr>
        <w:t>Minnesota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646CD820"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D93FC1">
        <w:rPr>
          <w:rFonts w:ascii="Arial" w:hAnsi="Arial" w:cs="Arial"/>
          <w:sz w:val="22"/>
          <w:szCs w:val="22"/>
        </w:rPr>
        <w:t>Minnesota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6C26ED92"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D93FC1">
        <w:rPr>
          <w:rFonts w:ascii="Arial" w:hAnsi="Arial" w:cs="Arial"/>
          <w:sz w:val="22"/>
          <w:szCs w:val="22"/>
        </w:rPr>
        <w:t>Minnesota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1F016AA7"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D93FC1">
        <w:rPr>
          <w:rFonts w:ascii="Arial" w:hAnsi="Arial" w:cs="Arial"/>
          <w:sz w:val="22"/>
          <w:szCs w:val="22"/>
        </w:rPr>
        <w:t>Minnesota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A620A" w14:textId="77777777" w:rsidR="00464486" w:rsidRDefault="00464486">
      <w:r>
        <w:separator/>
      </w:r>
    </w:p>
  </w:endnote>
  <w:endnote w:type="continuationSeparator" w:id="0">
    <w:p w14:paraId="62537BCF" w14:textId="77777777" w:rsidR="00464486" w:rsidRDefault="00464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81C1B" w14:textId="77777777" w:rsidR="00464486" w:rsidRDefault="00464486">
      <w:r>
        <w:rPr>
          <w:color w:val="000000"/>
        </w:rPr>
        <w:separator/>
      </w:r>
    </w:p>
  </w:footnote>
  <w:footnote w:type="continuationSeparator" w:id="0">
    <w:p w14:paraId="64709EA9" w14:textId="77777777" w:rsidR="00464486" w:rsidRDefault="00464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422F1"/>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6448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70D65"/>
    <w:rsid w:val="00B86968"/>
    <w:rsid w:val="00BB21E2"/>
    <w:rsid w:val="00BD4DBB"/>
    <w:rsid w:val="00BE669A"/>
    <w:rsid w:val="00C22608"/>
    <w:rsid w:val="00C2679F"/>
    <w:rsid w:val="00C26C31"/>
    <w:rsid w:val="00C54430"/>
    <w:rsid w:val="00C92131"/>
    <w:rsid w:val="00CB1517"/>
    <w:rsid w:val="00CE2982"/>
    <w:rsid w:val="00D155DF"/>
    <w:rsid w:val="00D1580B"/>
    <w:rsid w:val="00D22D0C"/>
    <w:rsid w:val="00D22F67"/>
    <w:rsid w:val="00D731B0"/>
    <w:rsid w:val="00D92736"/>
    <w:rsid w:val="00D93FC1"/>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3168</Words>
  <Characters>18062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2022-12-29T01:52:00Z</dcterms:created>
  <dcterms:modified xsi:type="dcterms:W3CDTF">2022-12-29T01:52:00Z</dcterms:modified>
  <cp:category/>
</cp:coreProperties>
</file>